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 MALÁSIA NA DISPUTA SINO-AMERICANA: UMA ESTRATÉGIA DE </w:t>
      </w:r>
      <w:r w:rsidDel="00000000" w:rsidR="00000000" w:rsidRPr="00000000">
        <w:rPr>
          <w:rFonts w:ascii="Times New Roman" w:cs="Times New Roman" w:eastAsia="Times New Roman" w:hAnsi="Times New Roman"/>
          <w:b w:val="1"/>
          <w:bCs w:val="1"/>
          <w:i w:val="1"/>
          <w:iCs w:val="1"/>
          <w:sz w:val="24"/>
          <w:szCs w:val="24"/>
          <w:rtl w:val="0"/>
        </w:rPr>
        <w:t xml:space="preserve">HEDGING</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Pedro Mendes Martins</w:t>
      </w:r>
      <w:r w:rsidDel="00000000" w:rsidR="00000000" w:rsidRPr="00000000">
        <w:rPr>
          <w:rFonts w:ascii="Times New Roman" w:cs="Times New Roman" w:eastAsia="Times New Roman" w:hAnsi="Times New Roman"/>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INTRODUÇÃO</w:t>
      </w:r>
    </w:p>
    <w:p w:rsidR="00000000" w:rsidDel="00000000" w:rsidP="00000000" w:rsidRDefault="00000000" w:rsidRPr="00000000" w14:paraId="00000007">
      <w:pPr>
        <w:ind w:left="72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8">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O cenário internacional contemporâneo é caracterizado por múltiplas crises tanto geopolíticas, ao exemplo daquelas do Mar do Sul da China, Taiwan, Ucrânia e Golfo Pérsico, quanto sistêmicas, na forma da crise do multilateralismo político e do liberalismo econômico. Nesse cenário de instabilidade constante, a margem de atuação dos países, sobretudo aqueles que são considerados potências médias, é reduzida. Assim, cada decisão tomada, por países com tal perfil, tem elevados custos políticos, econômicos e até mesmo militares. É nesse tipo de contexto que o conceito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uma estratégia do mercado financeiro,</w:t>
      </w:r>
      <w:r w:rsidDel="00000000" w:rsidR="00000000" w:rsidRPr="00000000">
        <w:rPr>
          <w:rFonts w:ascii="Times New Roman" w:cs="Times New Roman" w:eastAsia="Times New Roman" w:hAnsi="Times New Roman"/>
          <w:i w:val="1"/>
          <w:i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se torna essencial para explicar justamente o comportamento dos Estados de evitarem um alinhamento à uma potência dominante contra a potência em ascensão (</w:t>
      </w:r>
      <w:r w:rsidDel="00000000" w:rsidR="00000000" w:rsidRPr="00000000">
        <w:rPr>
          <w:rFonts w:ascii="Times New Roman" w:cs="Times New Roman" w:eastAsia="Times New Roman" w:hAnsi="Times New Roman"/>
          <w:i w:val="1"/>
          <w:iCs w:val="1"/>
          <w:sz w:val="24"/>
          <w:szCs w:val="24"/>
          <w:rtl w:val="0"/>
        </w:rPr>
        <w:t xml:space="preserve">balancing</w:t>
      </w:r>
      <w:r w:rsidDel="00000000" w:rsidR="00000000" w:rsidRPr="00000000">
        <w:rPr>
          <w:rFonts w:ascii="Times New Roman" w:cs="Times New Roman" w:eastAsia="Times New Roman" w:hAnsi="Times New Roman"/>
          <w:sz w:val="24"/>
          <w:szCs w:val="24"/>
          <w:rtl w:val="0"/>
        </w:rPr>
        <w:t xml:space="preserve">) ou vice versa (</w:t>
      </w:r>
      <w:r w:rsidDel="00000000" w:rsidR="00000000" w:rsidRPr="00000000">
        <w:rPr>
          <w:rFonts w:ascii="Times New Roman" w:cs="Times New Roman" w:eastAsia="Times New Roman" w:hAnsi="Times New Roman"/>
          <w:i w:val="1"/>
          <w:iCs w:val="1"/>
          <w:sz w:val="24"/>
          <w:szCs w:val="24"/>
          <w:rtl w:val="0"/>
        </w:rPr>
        <w:t xml:space="preserve">bandwagoning</w:t>
      </w:r>
      <w:r w:rsidDel="00000000" w:rsidR="00000000" w:rsidRPr="00000000">
        <w:rPr>
          <w:rFonts w:ascii="Times New Roman" w:cs="Times New Roman" w:eastAsia="Times New Roman" w:hAnsi="Times New Roman"/>
          <w:sz w:val="24"/>
          <w:szCs w:val="24"/>
          <w:rtl w:val="0"/>
        </w:rPr>
        <w:t xml:space="preserve">). O comportamento dos Estados que adotam o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como estratégia de política externa consiste em tentar equilibrar-se entre duas grandes potências de modo a mitigar os riscos e maximizar os ganhos ao adotar essa postura. </w:t>
      </w:r>
    </w:p>
    <w:p w:rsidR="00000000" w:rsidDel="00000000" w:rsidP="00000000" w:rsidRDefault="00000000" w:rsidRPr="00000000" w14:paraId="00000009">
      <w:pPr>
        <w:spacing w:line="360" w:lineRule="auto"/>
        <w:ind w:left="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Naturalmente, executar essa estratégia incorre em grandes desafios para os tomadores de decisão, motivo pelo qual o estudo empírico de casos concretos, se torna fundamental para a literatura das Relações Internacionais (RI), especialmente em um cenário global cada vez mais volátil, na atualidade. Por esse motivo, o capítulo pretende analisar empiricamente se a política externa da Malásia, para o período de 2003 até 2020, pode ser entendida como uma estratégia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Além desta introdução e da conclusão, o presente trabalho será dividido em duas seções: a primeira que discutirá teoricamente o conceito de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nas Relações Internacionais e a segunda discutirá a política externa malaia para o período selecionado no contexto da disputa sino-americana. </w:t>
      </w:r>
    </w:p>
    <w:p w:rsidR="00000000" w:rsidDel="00000000" w:rsidP="00000000" w:rsidRDefault="00000000" w:rsidRPr="00000000" w14:paraId="0000000A">
      <w:pPr>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B">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 - A ESTRATÉGIA DE </w:t>
      </w:r>
      <w:r w:rsidDel="00000000" w:rsidR="00000000" w:rsidRPr="00000000">
        <w:rPr>
          <w:rFonts w:ascii="Times New Roman" w:cs="Times New Roman" w:eastAsia="Times New Roman" w:hAnsi="Times New Roman"/>
          <w:b w:val="1"/>
          <w:bCs w:val="1"/>
          <w:i w:val="1"/>
          <w:iCs w:val="1"/>
          <w:sz w:val="24"/>
          <w:szCs w:val="24"/>
          <w:rtl w:val="0"/>
        </w:rPr>
        <w:t xml:space="preserve">HEDGING </w:t>
      </w:r>
      <w:r w:rsidDel="00000000" w:rsidR="00000000" w:rsidRPr="00000000">
        <w:rPr>
          <w:rFonts w:ascii="Times New Roman" w:cs="Times New Roman" w:eastAsia="Times New Roman" w:hAnsi="Times New Roman"/>
          <w:b w:val="1"/>
          <w:bCs w:val="1"/>
          <w:sz w:val="24"/>
          <w:szCs w:val="24"/>
          <w:rtl w:val="0"/>
        </w:rPr>
        <w:t xml:space="preserve">N</w:t>
      </w:r>
      <w:r w:rsidDel="00000000" w:rsidR="00000000" w:rsidRPr="00000000">
        <w:rPr>
          <w:rFonts w:ascii="Times New Roman" w:cs="Times New Roman" w:eastAsia="Times New Roman" w:hAnsi="Times New Roman"/>
          <w:b w:val="1"/>
          <w:bCs w:val="1"/>
          <w:sz w:val="24"/>
          <w:szCs w:val="24"/>
          <w:rtl w:val="0"/>
        </w:rPr>
        <w:t xml:space="preserve">AS RELAÇÕES INTERNACIONAIS</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Identifica-se que o conceito de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foi introduzido nas Relações Internacionais nos anos 1990, quando os estudiosos passaram a usar esse termo para descrever o comportamento de um Estado que adota uma posição intermediária entre as estratégias de </w:t>
      </w:r>
      <w:r w:rsidDel="00000000" w:rsidR="00000000" w:rsidRPr="00000000">
        <w:rPr>
          <w:rFonts w:ascii="Times New Roman" w:cs="Times New Roman" w:eastAsia="Times New Roman" w:hAnsi="Times New Roman"/>
          <w:i w:val="1"/>
          <w:iCs w:val="1"/>
          <w:sz w:val="24"/>
          <w:szCs w:val="24"/>
          <w:rtl w:val="0"/>
        </w:rPr>
        <w:t xml:space="preserve">balancing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i w:val="1"/>
          <w:iCs w:val="1"/>
          <w:sz w:val="24"/>
          <w:szCs w:val="24"/>
          <w:rtl w:val="0"/>
        </w:rPr>
        <w:t xml:space="preserve">bandwagoning</w:t>
      </w:r>
      <w:r w:rsidDel="00000000" w:rsidR="00000000" w:rsidRPr="00000000">
        <w:rPr>
          <w:rFonts w:ascii="Times New Roman" w:cs="Times New Roman" w:eastAsia="Times New Roman" w:hAnsi="Times New Roman"/>
          <w:sz w:val="24"/>
          <w:szCs w:val="24"/>
          <w:rtl w:val="0"/>
        </w:rPr>
        <w:t xml:space="preserve">, apresentando elementos de ambas as estratégias (Kuik, 2021, p. 300; Ciorciari, Haacke, 2019, p.368). Conforme apontado, esse conceito foi importado da teoria financeira, onde pretendia explicar o comportamento de mitigar os riscos financeiros de uma flutuação adversa, por meio de outros investimentos (Gerstl, 2022, p.18; Silva, 2020, p.95). Apesar da sua relevância teórica, quando</w:t>
      </w:r>
      <w:r w:rsidDel="00000000" w:rsidR="00000000" w:rsidRPr="00000000">
        <w:rPr>
          <w:rFonts w:ascii="Times New Roman" w:cs="Times New Roman" w:eastAsia="Times New Roman" w:hAnsi="Times New Roman"/>
          <w:sz w:val="24"/>
          <w:szCs w:val="24"/>
          <w:rtl w:val="0"/>
        </w:rPr>
        <w:t xml:space="preserve"> aplicado às RI, </w:t>
      </w:r>
      <w:r w:rsidDel="00000000" w:rsidR="00000000" w:rsidRPr="00000000">
        <w:rPr>
          <w:rFonts w:ascii="Times New Roman" w:cs="Times New Roman" w:eastAsia="Times New Roman" w:hAnsi="Times New Roman"/>
          <w:sz w:val="24"/>
          <w:szCs w:val="24"/>
          <w:rtl w:val="0"/>
        </w:rPr>
        <w:t xml:space="preserve">padece de um consenso da academia, visto que estudiosos se dividem sobre a perspectiva de análise. Enquanto uns analisam o conceito como uma estratégia de engajamento de um Estado com uma potência ascendente, enquanto adota medidas de segurança; outros optam por analisá-lo como uma estratégia de segurança adotada por Estados pequenos, enquanto navegam as complexidades das relações interestatais (Ciorciari, Haacke, 2019, p.368). </w:t>
        <w:br w:type="textWrapping"/>
        <w:tab/>
        <w:t xml:space="preserve">Ademais, parte relevante dos autores considera esse conceito como sendo uma estratégia que permite aos Estados menores maximizarem benefícios das grandes potências, por meio de variadas formas de engajamento, enquanto também estabelecem medidas de gerenciamento de riscos (Silva, 2020, P. 97; Gerstl, 2022, p. 18). Para fins deste trabalho, adotar-se-á a definição de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como um comportamento de busca de garantias com três atributos: i) a insistência em não escolher lados ou alinhar-se de forma rígida; ii) tentativas de perseguir medidas opostas para mitigar riscos em domínios múltiplos, tais como segurança, economia e política; e iii) uma inclinação para diversificar e cultivar alternativas (Kuik, 2021, p.302). Tal conceito difere das estratégias de</w:t>
      </w:r>
      <w:r w:rsidDel="00000000" w:rsidR="00000000" w:rsidRPr="00000000">
        <w:rPr>
          <w:rFonts w:ascii="Times New Roman" w:cs="Times New Roman" w:eastAsia="Times New Roman" w:hAnsi="Times New Roman"/>
          <w:i w:val="1"/>
          <w:iCs w:val="1"/>
          <w:sz w:val="24"/>
          <w:szCs w:val="24"/>
          <w:rtl w:val="0"/>
        </w:rPr>
        <w:t xml:space="preserve"> Balancing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i w:val="1"/>
          <w:iCs w:val="1"/>
          <w:sz w:val="24"/>
          <w:szCs w:val="24"/>
          <w:rtl w:val="0"/>
        </w:rPr>
        <w:t xml:space="preserve">Bandwagoning </w:t>
      </w:r>
      <w:r w:rsidDel="00000000" w:rsidR="00000000" w:rsidRPr="00000000">
        <w:rPr>
          <w:rFonts w:ascii="Times New Roman" w:cs="Times New Roman" w:eastAsia="Times New Roman" w:hAnsi="Times New Roman"/>
          <w:sz w:val="24"/>
          <w:szCs w:val="24"/>
          <w:rtl w:val="0"/>
        </w:rPr>
        <w:t xml:space="preserve">porque ambas envolvem: i) uma escolha clara e inequívoca em que um Estado se alinha a um Estado em detrimento de outro; e ii) medidas inequívocas tomadas para conter uma ameaça (no caso de </w:t>
      </w:r>
      <w:r w:rsidDel="00000000" w:rsidR="00000000" w:rsidRPr="00000000">
        <w:rPr>
          <w:rFonts w:ascii="Times New Roman" w:cs="Times New Roman" w:eastAsia="Times New Roman" w:hAnsi="Times New Roman"/>
          <w:i w:val="1"/>
          <w:iCs w:val="1"/>
          <w:sz w:val="24"/>
          <w:szCs w:val="24"/>
          <w:rtl w:val="0"/>
        </w:rPr>
        <w:t xml:space="preserve">balancing</w:t>
      </w:r>
      <w:r w:rsidDel="00000000" w:rsidR="00000000" w:rsidRPr="00000000">
        <w:rPr>
          <w:rFonts w:ascii="Times New Roman" w:cs="Times New Roman" w:eastAsia="Times New Roman" w:hAnsi="Times New Roman"/>
          <w:sz w:val="24"/>
          <w:szCs w:val="24"/>
          <w:rtl w:val="0"/>
        </w:rPr>
        <w:t xml:space="preserve">) ou de maximizar ganhos (ou minimizar perdas) no caso de </w:t>
      </w:r>
      <w:r w:rsidDel="00000000" w:rsidR="00000000" w:rsidRPr="00000000">
        <w:rPr>
          <w:rFonts w:ascii="Times New Roman" w:cs="Times New Roman" w:eastAsia="Times New Roman" w:hAnsi="Times New Roman"/>
          <w:i w:val="1"/>
          <w:iCs w:val="1"/>
          <w:sz w:val="24"/>
          <w:szCs w:val="24"/>
          <w:rtl w:val="0"/>
        </w:rPr>
        <w:t xml:space="preserve">bandwagoning</w:t>
      </w:r>
      <w:r w:rsidDel="00000000" w:rsidR="00000000" w:rsidRPr="00000000">
        <w:rPr>
          <w:rFonts w:ascii="Times New Roman" w:cs="Times New Roman" w:eastAsia="Times New Roman" w:hAnsi="Times New Roman"/>
          <w:sz w:val="24"/>
          <w:szCs w:val="24"/>
          <w:rtl w:val="0"/>
        </w:rPr>
        <w:t xml:space="preserve"> (Kuik, 2021, p.302). </w:t>
        <w:br w:type="textWrapping"/>
        <w:tab/>
        <w:t xml:space="preserve">Deve modo geral, o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pode ser dividido em cinco componentes, a saber: 1a) percepção do Estado dos riscos e oportunidades apresentadas pelo potencial alvo da estratégia, 1b) percepção do valor estratégico dos potenciais parceiros de balancing; 2) engajamento político e diplomático; 3) engajamento econômico; 4) </w:t>
      </w:r>
      <w:r w:rsidDel="00000000" w:rsidR="00000000" w:rsidRPr="00000000">
        <w:rPr>
          <w:rFonts w:ascii="Times New Roman" w:cs="Times New Roman" w:eastAsia="Times New Roman" w:hAnsi="Times New Roman"/>
          <w:i w:val="1"/>
          <w:iCs w:val="1"/>
          <w:sz w:val="24"/>
          <w:szCs w:val="24"/>
          <w:rtl w:val="0"/>
        </w:rPr>
        <w:t xml:space="preserve">balancing </w:t>
      </w:r>
      <w:r w:rsidDel="00000000" w:rsidR="00000000" w:rsidRPr="00000000">
        <w:rPr>
          <w:rFonts w:ascii="Times New Roman" w:cs="Times New Roman" w:eastAsia="Times New Roman" w:hAnsi="Times New Roman"/>
          <w:sz w:val="24"/>
          <w:szCs w:val="24"/>
          <w:rtl w:val="0"/>
        </w:rPr>
        <w:t xml:space="preserve">limitado; e 5) </w:t>
      </w:r>
      <w:r w:rsidDel="00000000" w:rsidR="00000000" w:rsidRPr="00000000">
        <w:rPr>
          <w:rFonts w:ascii="Times New Roman" w:cs="Times New Roman" w:eastAsia="Times New Roman" w:hAnsi="Times New Roman"/>
          <w:i w:val="1"/>
          <w:iCs w:val="1"/>
          <w:sz w:val="24"/>
          <w:szCs w:val="24"/>
          <w:rtl w:val="0"/>
        </w:rPr>
        <w:t xml:space="preserve">bandwagoning </w:t>
      </w:r>
      <w:r w:rsidDel="00000000" w:rsidR="00000000" w:rsidRPr="00000000">
        <w:rPr>
          <w:rFonts w:ascii="Times New Roman" w:cs="Times New Roman" w:eastAsia="Times New Roman" w:hAnsi="Times New Roman"/>
          <w:sz w:val="24"/>
          <w:szCs w:val="24"/>
          <w:rtl w:val="0"/>
        </w:rPr>
        <w:t xml:space="preserve">limitado (Gerstl, 2022, p.20). O primeiro componente discute o porquê um Estado escolhe a estratégia de </w:t>
      </w:r>
      <w:r w:rsidDel="00000000" w:rsidR="00000000" w:rsidRPr="00000000">
        <w:rPr>
          <w:rFonts w:ascii="Times New Roman" w:cs="Times New Roman" w:eastAsia="Times New Roman" w:hAnsi="Times New Roman"/>
          <w:i w:val="1"/>
          <w:iCs w:val="1"/>
          <w:sz w:val="24"/>
          <w:szCs w:val="24"/>
          <w:rtl w:val="0"/>
        </w:rPr>
        <w:t xml:space="preserve">Hedge </w:t>
      </w:r>
      <w:r w:rsidDel="00000000" w:rsidR="00000000" w:rsidRPr="00000000">
        <w:rPr>
          <w:rFonts w:ascii="Times New Roman" w:cs="Times New Roman" w:eastAsia="Times New Roman" w:hAnsi="Times New Roman"/>
          <w:sz w:val="24"/>
          <w:szCs w:val="24"/>
          <w:rtl w:val="0"/>
        </w:rPr>
        <w:t xml:space="preserve">ao invés de perseguir uma de </w:t>
      </w:r>
      <w:r w:rsidDel="00000000" w:rsidR="00000000" w:rsidRPr="00000000">
        <w:rPr>
          <w:rFonts w:ascii="Times New Roman" w:cs="Times New Roman" w:eastAsia="Times New Roman" w:hAnsi="Times New Roman"/>
          <w:i w:val="1"/>
          <w:iCs w:val="1"/>
          <w:sz w:val="24"/>
          <w:szCs w:val="24"/>
          <w:rtl w:val="0"/>
        </w:rPr>
        <w:t xml:space="preserve">balancing </w:t>
      </w:r>
      <w:r w:rsidDel="00000000" w:rsidR="00000000" w:rsidRPr="00000000">
        <w:rPr>
          <w:rFonts w:ascii="Times New Roman" w:cs="Times New Roman" w:eastAsia="Times New Roman" w:hAnsi="Times New Roman"/>
          <w:sz w:val="24"/>
          <w:szCs w:val="24"/>
          <w:rtl w:val="0"/>
        </w:rPr>
        <w:t xml:space="preserve">ou de </w:t>
      </w:r>
      <w:r w:rsidDel="00000000" w:rsidR="00000000" w:rsidRPr="00000000">
        <w:rPr>
          <w:rFonts w:ascii="Times New Roman" w:cs="Times New Roman" w:eastAsia="Times New Roman" w:hAnsi="Times New Roman"/>
          <w:i w:val="1"/>
          <w:iCs w:val="1"/>
          <w:sz w:val="24"/>
          <w:szCs w:val="24"/>
          <w:rtl w:val="0"/>
        </w:rPr>
        <w:t xml:space="preserve">bandwagoning</w:t>
      </w:r>
      <w:r w:rsidDel="00000000" w:rsidR="00000000" w:rsidRPr="00000000">
        <w:rPr>
          <w:rFonts w:ascii="Times New Roman" w:cs="Times New Roman" w:eastAsia="Times New Roman" w:hAnsi="Times New Roman"/>
          <w:sz w:val="24"/>
          <w:szCs w:val="24"/>
          <w:rtl w:val="0"/>
        </w:rPr>
        <w:t xml:space="preserve">, considerando os riscos envolvendo a segurança do país, a sua economia e a sua capacidade de manutenção de uma </w:t>
      </w:r>
      <w:r w:rsidDel="00000000" w:rsidR="00000000" w:rsidRPr="00000000">
        <w:rPr>
          <w:rFonts w:ascii="Times New Roman" w:cs="Times New Roman" w:eastAsia="Times New Roman" w:hAnsi="Times New Roman"/>
          <w:sz w:val="24"/>
          <w:szCs w:val="24"/>
          <w:rtl w:val="0"/>
        </w:rPr>
        <w:t xml:space="preserve">autonomia </w:t>
      </w:r>
      <w:r w:rsidDel="00000000" w:rsidR="00000000" w:rsidRPr="00000000">
        <w:rPr>
          <w:rFonts w:ascii="Times New Roman" w:cs="Times New Roman" w:eastAsia="Times New Roman" w:hAnsi="Times New Roman"/>
          <w:sz w:val="24"/>
          <w:szCs w:val="24"/>
          <w:rtl w:val="0"/>
        </w:rPr>
        <w:t xml:space="preserve">decisória. Enquanto que os demais componentes analisam o como essa estratégia de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assume forma na realidade seja na forma da qualidade das relações políticos e diplomáticas (para o indicador de engajamento político), os benefícios econômicos dessa relação (para o engajamento econômico) e para os componentes de segurança, os quais envolvem o fortalecimento das capacidades nacionais de um país (para o </w:t>
      </w:r>
      <w:r w:rsidDel="00000000" w:rsidR="00000000" w:rsidRPr="00000000">
        <w:rPr>
          <w:rFonts w:ascii="Times New Roman" w:cs="Times New Roman" w:eastAsia="Times New Roman" w:hAnsi="Times New Roman"/>
          <w:i w:val="1"/>
          <w:iCs w:val="1"/>
          <w:sz w:val="24"/>
          <w:szCs w:val="24"/>
          <w:rtl w:val="0"/>
        </w:rPr>
        <w:t xml:space="preserve">balancing </w:t>
      </w:r>
      <w:r w:rsidDel="00000000" w:rsidR="00000000" w:rsidRPr="00000000">
        <w:rPr>
          <w:rFonts w:ascii="Times New Roman" w:cs="Times New Roman" w:eastAsia="Times New Roman" w:hAnsi="Times New Roman"/>
          <w:sz w:val="24"/>
          <w:szCs w:val="24"/>
          <w:rtl w:val="0"/>
        </w:rPr>
        <w:t xml:space="preserve">limitado) e a coordenação com o país alvo da estratégia, em questões políticas selecionadas (para o </w:t>
      </w:r>
      <w:r w:rsidDel="00000000" w:rsidR="00000000" w:rsidRPr="00000000">
        <w:rPr>
          <w:rFonts w:ascii="Times New Roman" w:cs="Times New Roman" w:eastAsia="Times New Roman" w:hAnsi="Times New Roman"/>
          <w:i w:val="1"/>
          <w:iCs w:val="1"/>
          <w:sz w:val="24"/>
          <w:szCs w:val="24"/>
          <w:rtl w:val="0"/>
        </w:rPr>
        <w:t xml:space="preserve">bandwagoning </w:t>
      </w:r>
      <w:r w:rsidDel="00000000" w:rsidR="00000000" w:rsidRPr="00000000">
        <w:rPr>
          <w:rFonts w:ascii="Times New Roman" w:cs="Times New Roman" w:eastAsia="Times New Roman" w:hAnsi="Times New Roman"/>
          <w:sz w:val="24"/>
          <w:szCs w:val="24"/>
          <w:rtl w:val="0"/>
        </w:rPr>
        <w:t xml:space="preserve">limitado) (GERSTL, 2022, pp.20-22).</w:t>
        <w:br w:type="textWrapping"/>
        <w:tab/>
        <w:t xml:space="preserve">Esses indicadores podem ser sumarizados na Tabela 1, o que ajuda a visualizar os cinco componentes e os critérios utilizados para eles: </w:t>
      </w:r>
    </w:p>
    <w:p w:rsidR="00000000" w:rsidDel="00000000" w:rsidP="00000000" w:rsidRDefault="00000000" w:rsidRPr="00000000" w14:paraId="0000000E">
      <w:pPr>
        <w:spacing w:line="36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Tabela 1 - Os componentes e os indicadores de </w:t>
      </w:r>
      <w:r w:rsidDel="00000000" w:rsidR="00000000" w:rsidRPr="00000000">
        <w:rPr>
          <w:rFonts w:ascii="Times New Roman" w:cs="Times New Roman" w:eastAsia="Times New Roman" w:hAnsi="Times New Roman"/>
          <w:b w:val="1"/>
          <w:bCs w:val="1"/>
          <w:i w:val="1"/>
          <w:iCs w:val="1"/>
          <w:sz w:val="24"/>
          <w:szCs w:val="24"/>
          <w:rtl w:val="0"/>
        </w:rPr>
        <w:t xml:space="preserve">hedging</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10">
      <w:pPr>
        <w:jc w:val="both"/>
        <w:rPr>
          <w:sz w:val="26"/>
          <w:szCs w:val="26"/>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Componentes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Critérios</w:t>
            </w:r>
          </w:p>
        </w:tc>
      </w:tr>
      <w:tr>
        <w:trPr>
          <w:cantSplit w:val="0"/>
          <w:trHeight w:val="46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numPr>
                <w:ilvl w:val="0"/>
                <w:numId w:val="2"/>
              </w:numPr>
              <w:spacing w:line="240" w:lineRule="auto"/>
              <w:ind w:left="720" w:hanging="36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Porque os Estados fazem </w:t>
            </w:r>
            <w:r w:rsidDel="00000000" w:rsidR="00000000" w:rsidRPr="00000000">
              <w:rPr>
                <w:rFonts w:ascii="Times New Roman" w:cs="Times New Roman" w:eastAsia="Times New Roman" w:hAnsi="Times New Roman"/>
                <w:i w:val="1"/>
                <w:iCs w:val="1"/>
                <w:sz w:val="24"/>
                <w:szCs w:val="24"/>
                <w:rtl w:val="0"/>
              </w:rPr>
              <w:t xml:space="preserve">hedge</w:t>
            </w:r>
            <w:r w:rsidDel="00000000" w:rsidR="00000000" w:rsidRPr="00000000">
              <w:rPr>
                <w:rFonts w:ascii="Times New Roman" w:cs="Times New Roman" w:eastAsia="Times New Roman" w:hAnsi="Times New Roman"/>
                <w:sz w:val="24"/>
                <w:szCs w:val="24"/>
                <w:rtl w:val="0"/>
              </w:rPr>
              <w:t xml:space="preserv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Percepção de riscos e oportunidades relacionados ao objeto do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ab/>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Riscos: segurança (soberania e integridade territorial), economia (dependência) e política doméstica (autonomia no processo decisório)</w:t>
            </w:r>
          </w:p>
          <w:p w:rsidR="00000000" w:rsidDel="00000000" w:rsidP="00000000" w:rsidRDefault="00000000" w:rsidRPr="00000000" w14:paraId="0000001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Oportunidades: segurança (aumento da segurança), economia (aumento das trocas), política doméstico (aumento da legitimidade doméstica devido ao desenvolvimento socioeconômico)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Percepção do valor estratégico de outras grandes potências e organizações internacionais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Políticas, segurança e economia (seu valor estratégico como potenciais parceiros de </w:t>
            </w:r>
            <w:r w:rsidDel="00000000" w:rsidR="00000000" w:rsidRPr="00000000">
              <w:rPr>
                <w:rFonts w:ascii="Times New Roman" w:cs="Times New Roman" w:eastAsia="Times New Roman" w:hAnsi="Times New Roman"/>
                <w:i w:val="1"/>
                <w:iCs w:val="1"/>
                <w:sz w:val="24"/>
                <w:szCs w:val="24"/>
                <w:rtl w:val="0"/>
              </w:rPr>
              <w:t xml:space="preserve">balancing</w:t>
            </w:r>
            <w:r w:rsidDel="00000000" w:rsidR="00000000" w:rsidRPr="00000000">
              <w:rPr>
                <w:rFonts w:ascii="Times New Roman" w:cs="Times New Roman" w:eastAsia="Times New Roman" w:hAnsi="Times New Roman"/>
                <w:sz w:val="24"/>
                <w:szCs w:val="24"/>
                <w:rtl w:val="0"/>
              </w:rPr>
              <w:t xml:space="preserve">)</w:t>
            </w:r>
          </w:p>
        </w:tc>
      </w:tr>
      <w:tr>
        <w:trPr>
          <w:cantSplit w:val="0"/>
          <w:trHeight w:val="46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Como os Estados fazem o </w:t>
            </w:r>
            <w:r w:rsidDel="00000000" w:rsidR="00000000" w:rsidRPr="00000000">
              <w:rPr>
                <w:rFonts w:ascii="Times New Roman" w:cs="Times New Roman" w:eastAsia="Times New Roman" w:hAnsi="Times New Roman"/>
                <w:i w:val="1"/>
                <w:iCs w:val="1"/>
                <w:sz w:val="24"/>
                <w:szCs w:val="24"/>
                <w:rtl w:val="0"/>
              </w:rPr>
              <w:t xml:space="preserve">hedge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Engajamento Político-Diplomático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Profundidade das relações político diplomáticas (número de visitas bilaterais, quantidade e profundidade de acordos)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Engajamento Econômico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Intensidade das relações econômicas (comércio, investimentos, infraestrutura, turismo etc)</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w:t>
            </w:r>
            <w:r w:rsidDel="00000000" w:rsidR="00000000" w:rsidRPr="00000000">
              <w:rPr>
                <w:rFonts w:ascii="Times New Roman" w:cs="Times New Roman" w:eastAsia="Times New Roman" w:hAnsi="Times New Roman"/>
                <w:i w:val="1"/>
                <w:iCs w:val="1"/>
                <w:sz w:val="24"/>
                <w:szCs w:val="24"/>
                <w:rtl w:val="0"/>
              </w:rPr>
              <w:t xml:space="preserve">Balancing </w:t>
            </w:r>
            <w:r w:rsidDel="00000000" w:rsidR="00000000" w:rsidRPr="00000000">
              <w:rPr>
                <w:rFonts w:ascii="Times New Roman" w:cs="Times New Roman" w:eastAsia="Times New Roman" w:hAnsi="Times New Roman"/>
                <w:sz w:val="24"/>
                <w:szCs w:val="24"/>
                <w:rtl w:val="0"/>
              </w:rPr>
              <w:t xml:space="preserve">Limitado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Estado das relações de segurança - confronto: aumento das capacidades militares e econômicas, </w:t>
            </w:r>
            <w:r w:rsidDel="00000000" w:rsidR="00000000" w:rsidRPr="00000000">
              <w:rPr>
                <w:rFonts w:ascii="Times New Roman" w:cs="Times New Roman" w:eastAsia="Times New Roman" w:hAnsi="Times New Roman"/>
                <w:i w:val="1"/>
                <w:iCs w:val="1"/>
                <w:sz w:val="24"/>
                <w:szCs w:val="24"/>
                <w:rtl w:val="0"/>
              </w:rPr>
              <w:t xml:space="preserve">soft balancing</w:t>
            </w:r>
            <w:r w:rsidDel="00000000" w:rsidR="00000000" w:rsidRPr="00000000">
              <w:rPr>
                <w:rFonts w:ascii="Times New Roman" w:cs="Times New Roman" w:eastAsia="Times New Roman" w:hAnsi="Times New Roman"/>
                <w:sz w:val="24"/>
                <w:szCs w:val="24"/>
                <w:rtl w:val="0"/>
              </w:rPr>
              <w:t xml:space="preserv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w:t>
            </w:r>
            <w:r w:rsidDel="00000000" w:rsidR="00000000" w:rsidRPr="00000000">
              <w:rPr>
                <w:rFonts w:ascii="Times New Roman" w:cs="Times New Roman" w:eastAsia="Times New Roman" w:hAnsi="Times New Roman"/>
                <w:i w:val="1"/>
                <w:iCs w:val="1"/>
                <w:sz w:val="24"/>
                <w:szCs w:val="24"/>
                <w:rtl w:val="0"/>
              </w:rPr>
              <w:t xml:space="preserve">Bandwagoning </w:t>
            </w:r>
            <w:r w:rsidDel="00000000" w:rsidR="00000000" w:rsidRPr="00000000">
              <w:rPr>
                <w:rFonts w:ascii="Times New Roman" w:cs="Times New Roman" w:eastAsia="Times New Roman" w:hAnsi="Times New Roman"/>
                <w:sz w:val="24"/>
                <w:szCs w:val="24"/>
                <w:rtl w:val="0"/>
              </w:rPr>
              <w:t xml:space="preserve">Limitado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Estado das relações de segurança: cooperação (acordos de segurança e acordos políticos com o alvo da estratégia de </w:t>
            </w:r>
            <w:r w:rsidDel="00000000" w:rsidR="00000000" w:rsidRPr="00000000">
              <w:rPr>
                <w:rFonts w:ascii="Times New Roman" w:cs="Times New Roman" w:eastAsia="Times New Roman" w:hAnsi="Times New Roman"/>
                <w:i w:val="1"/>
                <w:iCs w:val="1"/>
                <w:sz w:val="24"/>
                <w:szCs w:val="24"/>
                <w:rtl w:val="0"/>
              </w:rPr>
              <w:t xml:space="preserve">hedging</w:t>
            </w:r>
          </w:p>
        </w:tc>
      </w:tr>
    </w:tbl>
    <w:p w:rsidR="00000000" w:rsidDel="00000000" w:rsidP="00000000" w:rsidRDefault="00000000" w:rsidRPr="00000000" w14:paraId="00000025">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Fonte: Gerstl, 2022, p.24. </w:t>
        <w:tab/>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26">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Assim, partindo para a perspectiva analítica, observa-se que regionalmente, a rivalidade geoestratégica sino-americana é a grande questão polarizadora no Sudeste Asiático. Portanto, as incertezas sobre como essa rivalidade irá se desenvolver são elevadas (Gerstl, 2022, p. 25). Justamente em decorrência dessa incerteza, os países do Sudeste Asiático consideram positivamente os compromissos do governo estadunidense com os seus parceiros e aliados regionais, mas hesitam em alinhar-se totalmente com o Washington, porque entendem a importância de manter uma relação estável com a China. Isso, enquanto também rejeitam a ideia de se alinhar totalmente à China, sob o risco de tornarem-se dependentes do gigante asiático (Kuik, 2021, p.305). Portanto, quando um Estado rejeita um ato que é de interesse de uma grande potência, ele o faz seletivamente, de maneira limitada e compensando com atos opostos de cooperação em outras áreas, o que também acontece quando a decisão é de colaboração. Assim, o Estado em questão compensa isso com uma recusa em outra área ou aumentando a cooperação com a outra potência, buscando manter sua independência ou autonomia (Kuik, 2021, p.306). </w:t>
        <w:br w:type="textWrapping"/>
        <w:tab/>
        <w:t xml:space="preserve">Nesse sentido, o objetivo do trabalho é analisar a política externa malaia para o período de 2003 e 2020, para analisar como o país gerenciou a sua estratégia de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no contexto da disputa sino-americana. A escolha pela Malásia se dá porque o país situa-se no Sudeste Asiático, estando inserido no contexto da disputa sino-americana na região, mantendo laços estratégicos com os Estados Unidos da América (EUA) e uma parceria robusta e ampla com a China (Kuik, 2021, p. 307). A escolha desse marco cronológico justifica-se pelo fato de abranger os mandatos dos Primeiro-Ministros Abdullah Badawi (2003-2009), Najib Razak (2009-2018) e Mahathir Mohamad (2018-2020). A escolha por esses três se dá porque todos governaram inteiramente após a Guerra Fria (o mandato anterior ao de Badawi foi o de Mahathir Mohamad que vai de 1981 até 2003) e antes do agravamento da crise política causada pelo Sheraton Move (2020). As consequências dessa crise resultaram numa sequência de 3 mandatos de Primeiro-Ministros, com cerca de um ano de duração cada: Muhyiddin Yassin (2020-2021), Ismail Yakoob (2021-2022) e Anwar Ibrahim (desde 2022). Para analisar a política externa malaia neste período consideramos os indicadores presentes na Tabela 1. Para medir a percepção dos líderes, usaremos a literatura secundária existente sobre a política externa malaia neste período, enquanto que usaremos a base de dados </w:t>
      </w:r>
      <w:r w:rsidDel="00000000" w:rsidR="00000000" w:rsidRPr="00000000">
        <w:rPr>
          <w:rFonts w:ascii="Times New Roman" w:cs="Times New Roman" w:eastAsia="Times New Roman" w:hAnsi="Times New Roman"/>
          <w:i w:val="1"/>
          <w:iCs w:val="1"/>
          <w:sz w:val="24"/>
          <w:szCs w:val="24"/>
          <w:rtl w:val="0"/>
        </w:rPr>
        <w:t xml:space="preserve">Country and Organization Leader Travel</w:t>
      </w:r>
      <w:r w:rsidDel="00000000" w:rsidR="00000000" w:rsidRPr="00000000">
        <w:rPr>
          <w:rFonts w:ascii="Times New Roman" w:cs="Times New Roman" w:eastAsia="Times New Roman" w:hAnsi="Times New Roman"/>
          <w:sz w:val="24"/>
          <w:szCs w:val="24"/>
          <w:rtl w:val="0"/>
        </w:rPr>
        <w:t xml:space="preserve"> (COLT) Dataset da Universidade de Denver, para medir as viagens internacionais realizadas pelos Primeiro-Ministros malaios nesse período, como um indicador do engajamento político e diplomático. </w:t>
        <w:br w:type="textWrapping"/>
        <w:t xml:space="preserve"> </w:t>
        <w:tab/>
        <w:t xml:space="preserve">Para atender ao indicador de engajamento econômico usar-se-á a base de dados de comércio internacional de acordo com as informações do </w:t>
      </w:r>
      <w:r w:rsidDel="00000000" w:rsidR="00000000" w:rsidRPr="00000000">
        <w:rPr>
          <w:rFonts w:ascii="Times New Roman" w:cs="Times New Roman" w:eastAsia="Times New Roman" w:hAnsi="Times New Roman"/>
          <w:i w:val="1"/>
          <w:iCs w:val="1"/>
          <w:sz w:val="24"/>
          <w:szCs w:val="24"/>
          <w:rtl w:val="0"/>
        </w:rPr>
        <w:t xml:space="preserve">World Integrated Data Solutions</w:t>
      </w:r>
      <w:r w:rsidDel="00000000" w:rsidR="00000000" w:rsidRPr="00000000">
        <w:rPr>
          <w:rFonts w:ascii="Times New Roman" w:cs="Times New Roman" w:eastAsia="Times New Roman" w:hAnsi="Times New Roman"/>
          <w:sz w:val="24"/>
          <w:szCs w:val="24"/>
          <w:rtl w:val="0"/>
        </w:rPr>
        <w:t xml:space="preserve"> do grupo Banco Mundial, por causa da maior acessibilidade dos dados internacionais. Por fim, para medir os indicadores de segurança (</w:t>
      </w:r>
      <w:r w:rsidDel="00000000" w:rsidR="00000000" w:rsidRPr="00000000">
        <w:rPr>
          <w:rFonts w:ascii="Times New Roman" w:cs="Times New Roman" w:eastAsia="Times New Roman" w:hAnsi="Times New Roman"/>
          <w:i w:val="1"/>
          <w:iCs w:val="1"/>
          <w:sz w:val="24"/>
          <w:szCs w:val="24"/>
          <w:rtl w:val="0"/>
        </w:rPr>
        <w:t xml:space="preserve">balancing</w:t>
      </w:r>
      <w:r w:rsidDel="00000000" w:rsidR="00000000" w:rsidRPr="00000000">
        <w:rPr>
          <w:rFonts w:ascii="Times New Roman" w:cs="Times New Roman" w:eastAsia="Times New Roman" w:hAnsi="Times New Roman"/>
          <w:sz w:val="24"/>
          <w:szCs w:val="24"/>
          <w:rtl w:val="0"/>
        </w:rPr>
        <w:t xml:space="preserve"> limitado</w:t>
      </w:r>
      <w:r w:rsidDel="00000000" w:rsidR="00000000" w:rsidRPr="00000000">
        <w:rPr>
          <w:rFonts w:ascii="Times New Roman" w:cs="Times New Roman" w:eastAsia="Times New Roman" w:hAnsi="Times New Roman"/>
          <w:sz w:val="24"/>
          <w:szCs w:val="24"/>
          <w:rtl w:val="0"/>
        </w:rPr>
        <w:t xml:space="preserve"> e </w:t>
      </w:r>
      <w:r w:rsidDel="00000000" w:rsidR="00000000" w:rsidRPr="00000000">
        <w:rPr>
          <w:rFonts w:ascii="Times New Roman" w:cs="Times New Roman" w:eastAsia="Times New Roman" w:hAnsi="Times New Roman"/>
          <w:i w:val="1"/>
          <w:iCs w:val="1"/>
          <w:sz w:val="24"/>
          <w:szCs w:val="24"/>
          <w:rtl w:val="0"/>
        </w:rPr>
        <w:t xml:space="preserve">bandwagoning </w:t>
      </w:r>
      <w:r w:rsidDel="00000000" w:rsidR="00000000" w:rsidRPr="00000000">
        <w:rPr>
          <w:rFonts w:ascii="Times New Roman" w:cs="Times New Roman" w:eastAsia="Times New Roman" w:hAnsi="Times New Roman"/>
          <w:sz w:val="24"/>
          <w:szCs w:val="24"/>
          <w:rtl w:val="0"/>
        </w:rPr>
        <w:t xml:space="preserve">limitado</w:t>
      </w:r>
      <w:r w:rsidDel="00000000" w:rsidR="00000000" w:rsidRPr="00000000">
        <w:rPr>
          <w:rFonts w:ascii="Times New Roman" w:cs="Times New Roman" w:eastAsia="Times New Roman" w:hAnsi="Times New Roman"/>
          <w:sz w:val="24"/>
          <w:szCs w:val="24"/>
          <w:rtl w:val="0"/>
        </w:rPr>
        <w:t xml:space="preserve">) usaremos os dados de gastos de Defesa presentes nas edições de 2004 a 2021 do </w:t>
      </w:r>
      <w:r w:rsidDel="00000000" w:rsidR="00000000" w:rsidRPr="00000000">
        <w:rPr>
          <w:rFonts w:ascii="Times New Roman" w:cs="Times New Roman" w:eastAsia="Times New Roman" w:hAnsi="Times New Roman"/>
          <w:i w:val="1"/>
          <w:iCs w:val="1"/>
          <w:sz w:val="24"/>
          <w:szCs w:val="24"/>
          <w:rtl w:val="0"/>
        </w:rPr>
        <w:t xml:space="preserve">Military Balance</w:t>
      </w:r>
      <w:r w:rsidDel="00000000" w:rsidR="00000000" w:rsidRPr="00000000">
        <w:rPr>
          <w:rFonts w:ascii="Times New Roman" w:cs="Times New Roman" w:eastAsia="Times New Roman" w:hAnsi="Times New Roman"/>
          <w:sz w:val="24"/>
          <w:szCs w:val="24"/>
          <w:rtl w:val="0"/>
        </w:rPr>
        <w:t xml:space="preserve"> e os dados de compra de armamentos do </w:t>
      </w:r>
      <w:r w:rsidDel="00000000" w:rsidR="00000000" w:rsidRPr="00000000">
        <w:rPr>
          <w:rFonts w:ascii="Times New Roman" w:cs="Times New Roman" w:eastAsia="Times New Roman" w:hAnsi="Times New Roman"/>
          <w:i w:val="1"/>
          <w:iCs w:val="1"/>
          <w:sz w:val="24"/>
          <w:szCs w:val="24"/>
          <w:rtl w:val="0"/>
        </w:rPr>
        <w:t xml:space="preserve">Stockholm International Peace Research Institute</w:t>
      </w:r>
      <w:r w:rsidDel="00000000" w:rsidR="00000000" w:rsidRPr="00000000">
        <w:rPr>
          <w:rFonts w:ascii="Times New Roman" w:cs="Times New Roman" w:eastAsia="Times New Roman" w:hAnsi="Times New Roman"/>
          <w:sz w:val="24"/>
          <w:szCs w:val="24"/>
          <w:rtl w:val="0"/>
        </w:rPr>
        <w:t xml:space="preserve"> (SIPRI). Esse trabalho tem o potencial de não apenas desenvolver e aprofundar a literatura sobre a aplicabilidade do conceito de </w:t>
      </w:r>
      <w:r w:rsidDel="00000000" w:rsidR="00000000" w:rsidRPr="00000000">
        <w:rPr>
          <w:rFonts w:ascii="Times New Roman" w:cs="Times New Roman" w:eastAsia="Times New Roman" w:hAnsi="Times New Roman"/>
          <w:i w:val="1"/>
          <w:iCs w:val="1"/>
          <w:sz w:val="24"/>
          <w:szCs w:val="24"/>
          <w:rtl w:val="0"/>
        </w:rPr>
        <w:t xml:space="preserve">hedging </w:t>
      </w:r>
      <w:r w:rsidDel="00000000" w:rsidR="00000000" w:rsidRPr="00000000">
        <w:rPr>
          <w:rFonts w:ascii="Times New Roman" w:cs="Times New Roman" w:eastAsia="Times New Roman" w:hAnsi="Times New Roman"/>
          <w:sz w:val="24"/>
          <w:szCs w:val="24"/>
          <w:rtl w:val="0"/>
        </w:rPr>
        <w:t xml:space="preserve">e da política externa malaia, como também poderá servir como insumo para tomadores de decisão brasileiros, a respeito de como navegar a crescente rivalidade geoestratégica entre EUA e China. </w:t>
        <w:br w:type="textWrapping"/>
      </w:r>
    </w:p>
    <w:p w:rsidR="00000000" w:rsidDel="00000000" w:rsidP="00000000" w:rsidRDefault="00000000" w:rsidRPr="00000000" w14:paraId="00000027">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II - A POLÍTICA EXTERNA DA MALÁSIA (2003-2020) NA DISPUTA SINO-AMERICANA</w:t>
      </w:r>
    </w:p>
    <w:p w:rsidR="00000000" w:rsidDel="00000000" w:rsidP="00000000" w:rsidRDefault="00000000" w:rsidRPr="00000000" w14:paraId="00000028">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O relacionamento de </w:t>
      </w:r>
      <w:hyperlink r:id="rId8">
        <w:r w:rsidDel="00000000" w:rsidR="00000000" w:rsidRPr="00000000">
          <w:rPr>
            <w:rFonts w:ascii="Times New Roman" w:cs="Times New Roman" w:eastAsia="Times New Roman" w:hAnsi="Times New Roman"/>
            <w:sz w:val="24"/>
            <w:szCs w:val="24"/>
            <w:rtl w:val="0"/>
          </w:rPr>
          <w:t xml:space="preserve">Kuala Lumpur</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com Washington e Pequim é marcado por uma desigualdade cronológica, uma vez que o país do Sudeste Asiático só restabeleceu relações diplomáticas com a República Popular da China em 1974. Antes disso, a Malásia tinha uma relação estratégica com os EUA, onde o país era seu principal parceiro econômico, de modo em que Kuala Lumpur partilhava posições com Washington, no contexto da Guerra Fria (Khalid, 2011, p.3). A </w:t>
      </w:r>
      <w:r w:rsidDel="00000000" w:rsidR="00000000" w:rsidRPr="00000000">
        <w:rPr>
          <w:rFonts w:ascii="Times New Roman" w:cs="Times New Roman" w:eastAsia="Times New Roman" w:hAnsi="Times New Roman"/>
          <w:sz w:val="24"/>
          <w:szCs w:val="24"/>
          <w:rtl w:val="0"/>
        </w:rPr>
        <w:t xml:space="preserve">própria</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natureza assimétrica das relações malaio-americanas deixava claro que Washington podia ser fonte de benefícios e prejuízos para o país, em uma escala muito maior do que qualquer outro Estado (Khalid, 2011, p.9). Consequentemente, em seu primeiro mandato como Primeiro-Ministro, Mahathir (1981-2003) buscou intensificar as suas relações com a China, inaugurando um momento de incremento nas relações econômicas e diplomáticas, uma vez que, como resposta à criação do Tratado Norte-Americano de Livre Comércio (NAFTA) e da União Europeia, Mahathir tentou criar o </w:t>
      </w:r>
      <w:r w:rsidDel="00000000" w:rsidR="00000000" w:rsidRPr="00000000">
        <w:rPr>
          <w:rFonts w:ascii="Times New Roman" w:cs="Times New Roman" w:eastAsia="Times New Roman" w:hAnsi="Times New Roman"/>
          <w:i w:val="1"/>
          <w:iCs w:val="1"/>
          <w:sz w:val="24"/>
          <w:szCs w:val="24"/>
          <w:rtl w:val="0"/>
        </w:rPr>
        <w:t xml:space="preserve">East Asia Economic Group</w:t>
      </w:r>
      <w:r w:rsidDel="00000000" w:rsidR="00000000" w:rsidRPr="00000000">
        <w:rPr>
          <w:rFonts w:ascii="Times New Roman" w:cs="Times New Roman" w:eastAsia="Times New Roman" w:hAnsi="Times New Roman"/>
          <w:sz w:val="24"/>
          <w:szCs w:val="24"/>
          <w:rtl w:val="0"/>
        </w:rPr>
        <w:t xml:space="preserve"> (EAEG), nos anos 1990. O EAEG atuaria de forma a contrabalançar o Ocidente e amenizar os impactos que NAFTA e União Europeia teriam na economia malaia (Gerstl, 2022, pp.54-55). Por seu turno, o relacionamento sino-malaio também não é isento de tensões: a disputa no Mar do Sul da China, a presença de uma expressiva minoria chinesa na Malásia e o tratamento dado às populações chinesas muçulmanas, em Xinjiang (Gerstl, 2022, pp. 55-56). </w:t>
        <w:br w:type="textWrapping"/>
        <w:t xml:space="preserve"> </w:t>
        <w:tab/>
        <w:t xml:space="preserve">A despeito da guerra do Vietnã, o Sudeste Asiático não foi uma região prioritária para os EUA durante a Guerra Fria, algo que só foi mudado após os atentados do 11 de setembro de 2001 e a subsequente adoção da Guerra ao Terror. Naquele momento, os Estados Unidos elegeram como prioridades para a região o combate ao terrorismo, a manutenção da navegabilidade do Estreito de Málaca e o incremento da presença americana vis-a-vis à chinesa na região (Ridzuan; Ma’dan, 2023, pp. 151-152). Esse tipo de alteração na política externa estadunidense para o Sudeste Asiático significou uma situação em que os países da região dependiam dos EUA em termos de segurança, enquanto da China, em termos econômicos (Ridzuan; Ma’dan, 2023, p. 152). Especificamente para a Malásia, a política externa de Abdullah Badawi (2003-2009) mostrou um esforço de tentar abordar pragmaticamente essa delicada situação, por meio do engajamento de ambos os parceiros de forma simultânea por meio do </w:t>
      </w:r>
      <w:r w:rsidDel="00000000" w:rsidR="00000000" w:rsidRPr="00000000">
        <w:rPr>
          <w:rFonts w:ascii="Times New Roman" w:cs="Times New Roman" w:eastAsia="Times New Roman" w:hAnsi="Times New Roman"/>
          <w:i w:val="1"/>
          <w:iCs w:val="1"/>
          <w:sz w:val="24"/>
          <w:szCs w:val="24"/>
          <w:rtl w:val="0"/>
        </w:rPr>
        <w:t xml:space="preserve">East Asia Summit</w:t>
      </w:r>
      <w:r w:rsidDel="00000000" w:rsidR="00000000" w:rsidRPr="00000000">
        <w:rPr>
          <w:rFonts w:ascii="Times New Roman" w:cs="Times New Roman" w:eastAsia="Times New Roman" w:hAnsi="Times New Roman"/>
          <w:sz w:val="24"/>
          <w:szCs w:val="24"/>
          <w:rtl w:val="0"/>
        </w:rPr>
        <w:t xml:space="preserve">, considerado um dos sucessos de sua política externa (Ridzuan; Ma’dan, 2023, pp. 154-155). </w:t>
        <w:br w:type="textWrapping"/>
        <w:tab/>
        <w:t xml:space="preserve">O primeiro país fora da </w:t>
      </w:r>
      <w:r w:rsidDel="00000000" w:rsidR="00000000" w:rsidRPr="00000000">
        <w:rPr>
          <w:rFonts w:ascii="Times New Roman" w:cs="Times New Roman" w:eastAsia="Times New Roman" w:hAnsi="Times New Roman"/>
          <w:sz w:val="24"/>
          <w:szCs w:val="24"/>
          <w:rtl w:val="0"/>
        </w:rPr>
        <w:t xml:space="preserve">Associação de Nações do Sudeste Asiático (</w:t>
      </w:r>
      <w:r w:rsidDel="00000000" w:rsidR="00000000" w:rsidRPr="00000000">
        <w:rPr>
          <w:rFonts w:ascii="Times New Roman" w:cs="Times New Roman" w:eastAsia="Times New Roman" w:hAnsi="Times New Roman"/>
          <w:sz w:val="24"/>
          <w:szCs w:val="24"/>
          <w:rtl w:val="0"/>
        </w:rPr>
        <w:t xml:space="preserve">ASEAN) que Badawi visitou foi a China, carregando consigo ministros de Estado e 500 empresários e assinando cerca de 26 Memorandos de Entendimento bilaterais (Ridzuan; Ma’dan, 2023, p.156)</w:t>
      </w:r>
      <w:r w:rsidDel="00000000" w:rsidR="00000000" w:rsidRPr="00000000">
        <w:rPr>
          <w:rFonts w:ascii="Times New Roman" w:cs="Times New Roman" w:eastAsia="Times New Roman" w:hAnsi="Times New Roman"/>
          <w:sz w:val="24"/>
          <w:szCs w:val="24"/>
          <w:vertAlign w:val="superscript"/>
        </w:rPr>
        <w:footnoteReference w:customMarkFollows="0" w:id="1"/>
      </w:r>
      <w:r w:rsidDel="00000000" w:rsidR="00000000" w:rsidRPr="00000000">
        <w:rPr>
          <w:rFonts w:ascii="Times New Roman" w:cs="Times New Roman" w:eastAsia="Times New Roman" w:hAnsi="Times New Roman"/>
          <w:sz w:val="24"/>
          <w:szCs w:val="24"/>
          <w:rtl w:val="0"/>
        </w:rPr>
        <w:t xml:space="preserve">. Esse movimento de aproximação gerou resultados econômicos relevantes, como o aumento de 75% de turistas chineses na Malásia entre 2003 e 2009 e um aumento de estudantes chineses estudando na Malásia, de 4384 em 2002 para 11.000 em 2004 (Ridzuan; Ma’dan, 2023, p.158). Os dados de comércio bilateral para esse período também apontam essa tendência de evolução do comércio sino-malaio, como demonstra a Tabela 2. Ela mostra o fluxo comercial (exportações e importações) para os 4 principais parceiros econômicos, no período de 2003 a 2009. </w:t>
        <w:br w:type="textWrapping"/>
      </w:r>
    </w:p>
    <w:p w:rsidR="00000000" w:rsidDel="00000000" w:rsidP="00000000" w:rsidRDefault="00000000" w:rsidRPr="00000000" w14:paraId="0000002A">
      <w:pPr>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Tabela 2 - Parceiros comerciais da Malásia (2003-2009) em US$ bilhões</w:t>
      </w:r>
    </w:p>
    <w:p w:rsidR="00000000" w:rsidDel="00000000" w:rsidP="00000000" w:rsidRDefault="00000000" w:rsidRPr="00000000" w14:paraId="0000002B">
      <w:pPr>
        <w:spacing w:line="360" w:lineRule="auto"/>
        <w:ind w:left="0" w:firstLine="0"/>
        <w:jc w:val="both"/>
        <w:rPr>
          <w:rFonts w:ascii="Times New Roman" w:cs="Times New Roman" w:eastAsia="Times New Roman" w:hAnsi="Times New Roman"/>
          <w:sz w:val="24"/>
          <w:szCs w:val="24"/>
        </w:rPr>
      </w:pPr>
      <w:r w:rsidDel="00000000" w:rsidR="00000000" w:rsidRPr="00000000">
        <w:rPr>
          <w:rtl w:val="0"/>
        </w:rPr>
      </w:r>
    </w:p>
    <w:tbl>
      <w:tblPr>
        <w:tblStyle w:val="Table2"/>
        <w:tblW w:w="82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0"/>
        <w:gridCol w:w="1935"/>
        <w:gridCol w:w="2055"/>
        <w:gridCol w:w="1590"/>
        <w:gridCol w:w="1725"/>
        <w:tblGridChange w:id="0">
          <w:tblGrid>
            <w:gridCol w:w="960"/>
            <w:gridCol w:w="1935"/>
            <w:gridCol w:w="2055"/>
            <w:gridCol w:w="1590"/>
            <w:gridCol w:w="1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4º parceiro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(33,4)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(26,3)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(25,5)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(14,1)</w:t>
            </w:r>
            <w:r w:rsidDel="00000000" w:rsidR="00000000" w:rsidRPr="00000000">
              <w:rPr>
                <w:rFonts w:ascii="Times New Roman" w:cs="Times New Roman" w:eastAsia="Times New Roman" w:hAnsi="Times New Roman"/>
                <w:sz w:val="24"/>
                <w:szCs w:val="24"/>
                <w:vertAlign w:val="superscript"/>
              </w:rPr>
              <w:footnoteReference w:customMarkFollows="0" w:id="2"/>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(39)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(30,6)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(29,7)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(18,8)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(42,6)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(35,4)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(29,9)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(22,4)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(46,6)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(40,1)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(31,5)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(27,5)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(43,3)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(42,3)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(35,1)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(34,3)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(46,1)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(41,6)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(40,1)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(39,05)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(36,3)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(35,5)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(30,8)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(31,07)</w:t>
            </w:r>
          </w:p>
        </w:tc>
      </w:tr>
    </w:tbl>
    <w:p w:rsidR="00000000" w:rsidDel="00000000" w:rsidP="00000000" w:rsidRDefault="00000000" w:rsidRPr="00000000" w14:paraId="00000054">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0"/>
          <w:szCs w:val="20"/>
          <w:rtl w:val="0"/>
        </w:rPr>
        <w:t xml:space="preserve">Fonte: elaborado pelo autor a partir de dados do </w:t>
      </w:r>
      <w:r w:rsidDel="00000000" w:rsidR="00000000" w:rsidRPr="00000000">
        <w:rPr>
          <w:rFonts w:ascii="Times New Roman" w:cs="Times New Roman" w:eastAsia="Times New Roman" w:hAnsi="Times New Roman"/>
          <w:i w:val="1"/>
          <w:iCs w:val="1"/>
          <w:sz w:val="20"/>
          <w:szCs w:val="20"/>
          <w:rtl w:val="0"/>
        </w:rPr>
        <w:t xml:space="preserve">World Integrated Data Solution</w:t>
      </w:r>
      <w:r w:rsidDel="00000000" w:rsidR="00000000" w:rsidRPr="00000000">
        <w:rPr>
          <w:rFonts w:ascii="Times New Roman" w:cs="Times New Roman" w:eastAsia="Times New Roman" w:hAnsi="Times New Roman"/>
          <w:sz w:val="20"/>
          <w:szCs w:val="20"/>
          <w:rtl w:val="0"/>
        </w:rPr>
        <w:t xml:space="preserve"> (WITS). </w:t>
      </w:r>
      <w:r w:rsidDel="00000000" w:rsidR="00000000" w:rsidRPr="00000000">
        <w:rPr>
          <w:rtl w:val="0"/>
        </w:rPr>
      </w:r>
    </w:p>
    <w:p w:rsidR="00000000" w:rsidDel="00000000" w:rsidP="00000000" w:rsidRDefault="00000000" w:rsidRPr="00000000" w14:paraId="00000055">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Os dados presentes nessa tabela evidenciam que o governo Badawi se esforçou para diversificar as suas relações comerciais, de modo que não apenas a relação com a China aumentou em valor transacionado, como o país acabou se tornando o principal parceiro comercial da Malásia, no final de seu mandato. O segundo critério para analisar a estratégia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de um país é o engajamento político, o que, neste trabalho, será medido pelo número de visitas bilaterais realizadas. No caso específico do mandato de Badawi, foram realizadas 129 viagens internacionais entre 2003 e 2009, de acordo com os dados da base COLT da Universidade de Denver. Considerando que Badawi fez uma única visita para diversos países, optou-se por selecionar no Gráfico 1 apenas os 10 países mais visitados por ele. Conforme pode ser observado, existe uma concentração de visitas em países parceiros da ASEAN como Indonésia (13 visitas) e Tailândia (8 visitas) e uma leve preponderância de visitas aos Estados Unidos (6 visitas) ante à China (4 visitas). Esses dados permitem a inferência de que a estratégia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malaia também se mostra presente na variável engajamento político, uma vez que a discrepância de visitas aos Estados Unidos e à China é leve para o período analisado, sugerindo um esforço malaio de evitar a ideia de que escolheu Washington ou Pequim. </w:t>
        <w:br w:type="textWrapping"/>
      </w:r>
    </w:p>
    <w:p w:rsidR="00000000" w:rsidDel="00000000" w:rsidP="00000000" w:rsidRDefault="00000000" w:rsidRPr="00000000" w14:paraId="00000057">
      <w:pPr>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Gráfico 1 - Visitas Internacionais do Primeiro-Ministro da Malásia por país (2003-2009)</w:t>
        <w:br w:type="textWrapping"/>
      </w:r>
    </w:p>
    <w:p w:rsidR="00000000" w:rsidDel="00000000" w:rsidP="00000000" w:rsidRDefault="00000000" w:rsidRPr="00000000" w14:paraId="00000058">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262563" cy="1858397"/>
            <wp:effectExtent b="0" l="0" r="0" t="0"/>
            <wp:docPr id="7" name="image6.png"/>
            <a:graphic>
              <a:graphicData uri="http://schemas.openxmlformats.org/drawingml/2006/picture">
                <pic:pic>
                  <pic:nvPicPr>
                    <pic:cNvPr id="0" name="image6.png"/>
                    <pic:cNvPicPr preferRelativeResize="0"/>
                  </pic:nvPicPr>
                  <pic:blipFill>
                    <a:blip r:embed="rId9"/>
                    <a:srcRect b="0" l="0" r="0" t="0"/>
                    <a:stretch>
                      <a:fillRect/>
                    </a:stretch>
                  </pic:blipFill>
                  <pic:spPr>
                    <a:xfrm>
                      <a:off x="0" y="0"/>
                      <a:ext cx="5262563" cy="1858397"/>
                    </a:xfrm>
                    <a:prstGeom prst="rect"/>
                    <a:ln/>
                  </pic:spPr>
                </pic:pic>
              </a:graphicData>
            </a:graphic>
          </wp:inline>
        </w:drawing>
      </w:r>
      <w:r w:rsidDel="00000000" w:rsidR="00000000" w:rsidRPr="00000000">
        <w:rPr>
          <w:rtl w:val="0"/>
        </w:rPr>
      </w:r>
    </w:p>
    <w:p w:rsidR="00000000" w:rsidDel="00000000" w:rsidP="00000000" w:rsidRDefault="00000000" w:rsidRPr="00000000" w14:paraId="00000059">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0"/>
          <w:szCs w:val="20"/>
          <w:rtl w:val="0"/>
        </w:rPr>
        <w:t xml:space="preserve">Fonte: elaborado pelo autor a partir da base de dados COLT da Universidade de Denver.</w:t>
      </w:r>
      <w:r w:rsidDel="00000000" w:rsidR="00000000" w:rsidRPr="00000000">
        <w:rPr>
          <w:rtl w:val="0"/>
        </w:rPr>
      </w:r>
    </w:p>
    <w:p w:rsidR="00000000" w:rsidDel="00000000" w:rsidP="00000000" w:rsidRDefault="00000000" w:rsidRPr="00000000" w14:paraId="0000005A">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 </w:t>
        <w:tab/>
        <w:t xml:space="preserve">Em termos de segurança, a Malásia adotou uma postura de cautela perante a China, sobretudo tendo em vista a latente disputa envolvendo o Mar do Sul da China: em 2005, o país renovou o acordo </w:t>
      </w:r>
      <w:r w:rsidDel="00000000" w:rsidR="00000000" w:rsidRPr="00000000">
        <w:rPr>
          <w:rFonts w:ascii="Times New Roman" w:cs="Times New Roman" w:eastAsia="Times New Roman" w:hAnsi="Times New Roman"/>
          <w:i w:val="1"/>
          <w:iCs w:val="1"/>
          <w:sz w:val="24"/>
          <w:szCs w:val="24"/>
          <w:rtl w:val="0"/>
        </w:rPr>
        <w:t xml:space="preserve">Acquisition and Cross-Servicing Agreement</w:t>
      </w:r>
      <w:r w:rsidDel="00000000" w:rsidR="00000000" w:rsidRPr="00000000">
        <w:rPr>
          <w:rFonts w:ascii="Times New Roman" w:cs="Times New Roman" w:eastAsia="Times New Roman" w:hAnsi="Times New Roman"/>
          <w:sz w:val="24"/>
          <w:szCs w:val="24"/>
          <w:rtl w:val="0"/>
        </w:rPr>
        <w:t xml:space="preserve"> (ACSA) assinado com os Estados Unidos, ainda em 1994 (Ridzuan; Ma’dan, 2023, p.159). Um aspecto central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é justamente o componente militar que, conforme antecipado, será medido pelos indicadores de gastos militares como proporção do Produto Interno Bruto (PIB) e de compra de armamentos durante o período analisado. Analisando os dados para o mandato de Badawi (2003-2009), presentes no Gráfico 2, é possível perceber que os gastos em Defesa como proporção do PIB se mantiveram constantes no patamar aproximado de 2% do PIB nacional, com exceção de 2003, quando os gastos do país atingiram a cifra de 2,6% do PIB.  </w:t>
      </w:r>
    </w:p>
    <w:p w:rsidR="00000000" w:rsidDel="00000000" w:rsidP="00000000" w:rsidRDefault="00000000" w:rsidRPr="00000000" w14:paraId="0000005B">
      <w:pPr>
        <w:spacing w:line="36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Gráfico 2 - Gastos em Defesa em proporção do PIB (2003-2009)</w:t>
      </w:r>
    </w:p>
    <w:p w:rsidR="00000000" w:rsidDel="00000000" w:rsidP="00000000" w:rsidRDefault="00000000" w:rsidRPr="00000000" w14:paraId="0000005D">
      <w:pPr>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3309938" cy="2033247"/>
            <wp:effectExtent b="0" l="0" r="0" t="0"/>
            <wp:docPr descr="Gráfico" id="9" name="image2.png"/>
            <a:graphic>
              <a:graphicData uri="http://schemas.openxmlformats.org/drawingml/2006/picture">
                <pic:pic>
                  <pic:nvPicPr>
                    <pic:cNvPr descr="Gráfico" id="0" name="image2.png"/>
                    <pic:cNvPicPr preferRelativeResize="0"/>
                  </pic:nvPicPr>
                  <pic:blipFill>
                    <a:blip r:embed="rId10"/>
                    <a:srcRect b="0" l="0" r="0" t="0"/>
                    <a:stretch>
                      <a:fillRect/>
                    </a:stretch>
                  </pic:blipFill>
                  <pic:spPr>
                    <a:xfrm>
                      <a:off x="0" y="0"/>
                      <a:ext cx="3309938" cy="2033247"/>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Fonte: elaborado pelo autor com dados do </w:t>
      </w:r>
      <w:r w:rsidDel="00000000" w:rsidR="00000000" w:rsidRPr="00000000">
        <w:rPr>
          <w:rFonts w:ascii="Times New Roman" w:cs="Times New Roman" w:eastAsia="Times New Roman" w:hAnsi="Times New Roman"/>
          <w:i w:val="1"/>
          <w:iCs w:val="1"/>
          <w:sz w:val="20"/>
          <w:szCs w:val="20"/>
          <w:rtl w:val="0"/>
        </w:rPr>
        <w:t xml:space="preserve">Military Balance </w:t>
      </w:r>
      <w:r w:rsidDel="00000000" w:rsidR="00000000" w:rsidRPr="00000000">
        <w:rPr>
          <w:rFonts w:ascii="Times New Roman" w:cs="Times New Roman" w:eastAsia="Times New Roman" w:hAnsi="Times New Roman"/>
          <w:sz w:val="20"/>
          <w:szCs w:val="20"/>
          <w:rtl w:val="0"/>
        </w:rPr>
        <w:t xml:space="preserve">de 2004 a 2010.</w:t>
      </w:r>
    </w:p>
    <w:p w:rsidR="00000000" w:rsidDel="00000000" w:rsidP="00000000" w:rsidRDefault="00000000" w:rsidRPr="00000000" w14:paraId="0000005F">
      <w:pPr>
        <w:spacing w:line="36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spacing w:line="360" w:lineRule="auto"/>
        <w:ind w:left="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termos de compras de materiais militares, os dados do S</w:t>
      </w:r>
      <w:r w:rsidDel="00000000" w:rsidR="00000000" w:rsidRPr="00000000">
        <w:rPr>
          <w:rFonts w:ascii="Times New Roman" w:cs="Times New Roman" w:eastAsia="Times New Roman" w:hAnsi="Times New Roman"/>
          <w:i w:val="1"/>
          <w:iCs w:val="1"/>
          <w:sz w:val="24"/>
          <w:szCs w:val="24"/>
          <w:rtl w:val="0"/>
        </w:rPr>
        <w:t xml:space="preserve">tockholm International Peace Research Institute</w:t>
      </w:r>
      <w:r w:rsidDel="00000000" w:rsidR="00000000" w:rsidRPr="00000000">
        <w:rPr>
          <w:rFonts w:ascii="Times New Roman" w:cs="Times New Roman" w:eastAsia="Times New Roman" w:hAnsi="Times New Roman"/>
          <w:sz w:val="24"/>
          <w:szCs w:val="24"/>
          <w:rtl w:val="0"/>
        </w:rPr>
        <w:t xml:space="preserve"> para o período de 2003 até 2009 (Tabela 3) mostram que houve uma predominância de entrega de armamentos oriundos da Rússia com 43% do total, seguido de França (com 13%), Espanha (com 11%) e Reino Unido (com 7,3%) no período analisado, enquanto que China e Estados Unidos apareceram com menos 0,2 e 2,7%, respectivamente, das entregas analisadas. Aqui vale uma explicação de caráter metodológico: o SIPRI não mede o valor em dólares das entregas, mas as transferências de recursos militares durante um dado período. Para isso, o SIPRI desenvolveu o indicador </w:t>
      </w:r>
      <w:r w:rsidDel="00000000" w:rsidR="00000000" w:rsidRPr="00000000">
        <w:rPr>
          <w:rFonts w:ascii="Times New Roman" w:cs="Times New Roman" w:eastAsia="Times New Roman" w:hAnsi="Times New Roman"/>
          <w:i w:val="1"/>
          <w:iCs w:val="1"/>
          <w:sz w:val="24"/>
          <w:szCs w:val="24"/>
          <w:rtl w:val="0"/>
        </w:rPr>
        <w:t xml:space="preserve">Trend-Indicator Value</w:t>
      </w:r>
      <w:r w:rsidDel="00000000" w:rsidR="00000000" w:rsidRPr="00000000">
        <w:rPr>
          <w:rFonts w:ascii="Times New Roman" w:cs="Times New Roman" w:eastAsia="Times New Roman" w:hAnsi="Times New Roman"/>
          <w:sz w:val="24"/>
          <w:szCs w:val="24"/>
          <w:rtl w:val="0"/>
        </w:rPr>
        <w:t xml:space="preserve"> (TIV) que mede o custo de produção de armamentos e os confere uma pontuação ajustando-a caso o equipamento seja novo, usado ou se ele foi modernizado antes da venda. </w:t>
        <w:br w:type="textWrapping"/>
      </w:r>
    </w:p>
    <w:p w:rsidR="00000000" w:rsidDel="00000000" w:rsidP="00000000" w:rsidRDefault="00000000" w:rsidRPr="00000000" w14:paraId="00000061">
      <w:pPr>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Tabela 3 - Principais fornecedores de armamentos militares para a Malásia (2003-2009)</w:t>
      </w:r>
      <w:r w:rsidDel="00000000" w:rsidR="00000000" w:rsidRPr="00000000">
        <w:rPr>
          <w:rFonts w:ascii="Times New Roman" w:cs="Times New Roman" w:eastAsia="Times New Roman" w:hAnsi="Times New Roman"/>
          <w:b w:val="1"/>
          <w:bCs w:val="1"/>
          <w:sz w:val="24"/>
          <w:szCs w:val="24"/>
          <w:vertAlign w:val="superscript"/>
        </w:rPr>
        <w:footnoteReference w:customMarkFollows="0" w:id="3"/>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62">
      <w:pPr>
        <w:spacing w:line="360" w:lineRule="auto"/>
        <w:ind w:left="0" w:firstLine="0"/>
        <w:jc w:val="both"/>
        <w:rPr>
          <w:rFonts w:ascii="Times New Roman" w:cs="Times New Roman" w:eastAsia="Times New Roman" w:hAnsi="Times New Roman"/>
          <w:b w:val="1"/>
          <w:bCs w:val="1"/>
          <w:sz w:val="24"/>
          <w:szCs w:val="24"/>
        </w:rPr>
      </w:pPr>
      <w:r w:rsidDel="00000000" w:rsidR="00000000" w:rsidRPr="00000000">
        <w:rPr>
          <w:rtl w:val="0"/>
        </w:rPr>
      </w:r>
    </w:p>
    <w:tbl>
      <w:tblPr>
        <w:tblStyle w:val="Table3"/>
        <w:tblW w:w="65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2595"/>
        <w:gridCol w:w="1995"/>
        <w:tblGridChange w:id="0">
          <w:tblGrid>
            <w:gridCol w:w="1995"/>
            <w:gridCol w:w="2595"/>
            <w:gridCol w:w="19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País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TIV (2003-2009)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Porcentagem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Rússia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1198</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França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Espanha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Reino Unido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Alemanha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Estados Unidos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r>
    </w:tbl>
    <w:p w:rsidR="00000000" w:rsidDel="00000000" w:rsidP="00000000" w:rsidRDefault="00000000" w:rsidRPr="00000000" w14:paraId="00000078">
      <w:pPr>
        <w:spacing w:line="3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Fonte: elaborado pelo autor com dados do SIPRI.</w:t>
      </w:r>
    </w:p>
    <w:p w:rsidR="00000000" w:rsidDel="00000000" w:rsidP="00000000" w:rsidRDefault="00000000" w:rsidRPr="00000000" w14:paraId="00000079">
      <w:pPr>
        <w:spacing w:line="360" w:lineRule="auto"/>
        <w:ind w:lef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Seguindo a postura de seu antecessor, o Primeiro Ministro Najib Razak (2009-2018) manteve um esforço de aproximação com os EUA, causado tanto pela dinâmica de segurança no Estreito de Malaca e no Mar do Sul da China como pela importância histórica dos Estados Unidos como parceiro econômico (Khalid, 2011, pp.449-450; Kuik, 2012,p.14). No entanto, a aproximação econômica com a China nesse período foi extremamente intensa em seu mandato: Najib participou da Cúpula da </w:t>
      </w:r>
      <w:r w:rsidDel="00000000" w:rsidR="00000000" w:rsidRPr="00000000">
        <w:rPr>
          <w:rFonts w:ascii="Times New Roman" w:cs="Times New Roman" w:eastAsia="Times New Roman" w:hAnsi="Times New Roman"/>
          <w:i w:val="1"/>
          <w:iCs w:val="1"/>
          <w:sz w:val="24"/>
          <w:szCs w:val="24"/>
          <w:rtl w:val="0"/>
        </w:rPr>
        <w:t xml:space="preserve">Belt and Road </w:t>
      </w:r>
      <w:r w:rsidDel="00000000" w:rsidR="00000000" w:rsidRPr="00000000">
        <w:rPr>
          <w:rFonts w:ascii="Times New Roman" w:cs="Times New Roman" w:eastAsia="Times New Roman" w:hAnsi="Times New Roman"/>
          <w:sz w:val="24"/>
          <w:szCs w:val="24"/>
          <w:rtl w:val="0"/>
        </w:rPr>
        <w:t xml:space="preserve">em maio de 2017, e a Malásia recebeu significativos investimentos chineses como os projetos ferroviário</w:t>
      </w:r>
      <w:r w:rsidDel="00000000" w:rsidR="00000000" w:rsidRPr="00000000">
        <w:rPr>
          <w:rFonts w:ascii="Times New Roman" w:cs="Times New Roman" w:eastAsia="Times New Roman" w:hAnsi="Times New Roman"/>
          <w:i w:val="1"/>
          <w:iCs w:val="1"/>
          <w:sz w:val="24"/>
          <w:szCs w:val="24"/>
          <w:rtl w:val="0"/>
        </w:rPr>
        <w:t xml:space="preserve"> East Coast Rail Link </w:t>
      </w:r>
      <w:r w:rsidDel="00000000" w:rsidR="00000000" w:rsidRPr="00000000">
        <w:rPr>
          <w:rFonts w:ascii="Times New Roman" w:cs="Times New Roman" w:eastAsia="Times New Roman" w:hAnsi="Times New Roman"/>
          <w:sz w:val="24"/>
          <w:szCs w:val="24"/>
          <w:rtl w:val="0"/>
        </w:rPr>
        <w:t xml:space="preserve">(estimado inicialmente em US$ 13 bilhões e depois revisado para US$ 20 bilhões) e portuário Malacca Gateway (estimado em US$ bilhões de dólares) (Ngeow, 2019, pp. 27-28). O resultado desse período foi a consolidação da liderança chinesa na economia malaia (Tabela 4), com uma leve redução dos gastos militares em termos de proporção do PIB (Gráfico 3).  </w:t>
        <w:br w:type="textWrapping"/>
        <w:t xml:space="preserve"> </w:t>
        <w:tab/>
        <w:t xml:space="preserve">No que se refere às visitas internacionais (Gráfico 4), Najib Razak aumentou o número de viagens internacionais durante o seu mandato para um total de 161 viagens, mas manteve um padrão de visitar mais intensamente a Indonésia (15 visitas), por uma maior preferência perante os Estados Unidos (12 visitas) à China (9 visitas). Por fim,  uma grande inovação do seu mandato com relação ao de Badawi foi o relevante aumento de visitas para a Arábia Saudita: de 4 visitas no mandato de Badawi para 14 no de Najib Razak. No que se refere às compras militares (Tabela 5), o mandato de Najib Razak foi caracterizado pelo aumento da compra de armamentos de países da Organização do Tratado do Atlântico Norte (OTAN) (Espanha, Alemanha, Turquia e França) e Coreia do Sul, de maneira que a China saiu do </w:t>
      </w:r>
      <w:r w:rsidDel="00000000" w:rsidR="00000000" w:rsidRPr="00000000">
        <w:rPr>
          <w:rFonts w:ascii="Times New Roman" w:cs="Times New Roman" w:eastAsia="Times New Roman" w:hAnsi="Times New Roman"/>
          <w:i w:val="1"/>
          <w:iCs w:val="1"/>
          <w:sz w:val="24"/>
          <w:szCs w:val="24"/>
          <w:rtl w:val="0"/>
        </w:rPr>
        <w:t xml:space="preserve">ranking</w:t>
      </w:r>
      <w:r w:rsidDel="00000000" w:rsidR="00000000" w:rsidRPr="00000000">
        <w:rPr>
          <w:rFonts w:ascii="Times New Roman" w:cs="Times New Roman" w:eastAsia="Times New Roman" w:hAnsi="Times New Roman"/>
          <w:sz w:val="24"/>
          <w:szCs w:val="24"/>
          <w:rtl w:val="0"/>
        </w:rPr>
        <w:t xml:space="preserve">, a Rússia encolheu para 1,3% das transferências e os Estados Unidos vivenciaram uma queda no total de transferências totais (74 para 46). Ainda que isso tenha significado um aumento proporcional de transferências militares de 2,7 para 4,4%, entre os mandatos de Badawi e Najib, respectivamente. </w:t>
        <w:br w:type="textWrapping"/>
      </w:r>
    </w:p>
    <w:p w:rsidR="00000000" w:rsidDel="00000000" w:rsidP="00000000" w:rsidRDefault="00000000" w:rsidRPr="00000000" w14:paraId="0000007B">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Tabela 4 - Principais parceiros comerciais da Malásia (2009 -2018) </w:t>
        <w:br w:type="textWrapping"/>
      </w:r>
      <w:r w:rsidDel="00000000" w:rsidR="00000000" w:rsidRPr="00000000">
        <w:rPr>
          <w:rtl w:val="0"/>
        </w:rPr>
      </w:r>
    </w:p>
    <w:tbl>
      <w:tblPr>
        <w:tblStyle w:val="Table4"/>
        <w:tblW w:w="88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5"/>
        <w:gridCol w:w="1650"/>
        <w:gridCol w:w="1935"/>
        <w:gridCol w:w="1800"/>
        <w:gridCol w:w="1665"/>
        <w:tblGridChange w:id="0">
          <w:tblGrid>
            <w:gridCol w:w="1815"/>
            <w:gridCol w:w="1650"/>
            <w:gridCol w:w="1935"/>
            <w:gridCol w:w="1800"/>
            <w:gridCol w:w="1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4º parceiro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(36,3)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(35,5)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(30,8)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(31,07)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(45,7)</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(45,3)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(41,3)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(36,5)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(54,5)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(52,8)</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(47,5)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(36,9)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(58,4)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(56,9)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(47,1)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(35,6)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(64,5)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Singapura (57,2</w:t>
            </w:r>
            <w:r w:rsidDel="00000000" w:rsidR="00000000" w:rsidRPr="00000000">
              <w:rPr>
                <w:rFonts w:ascii="Times New Roman" w:cs="Times New Roman" w:eastAsia="Times New Roman" w:hAnsi="Times New Roman"/>
                <w:b w:val="1"/>
                <w:bCs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(43,0)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(34,5)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(63,5)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(59,4)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(42,0)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(35,7)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(59,3)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(48,9)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(33,1)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(32,7)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(58,0)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(45,0)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(32,7)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(28,9)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(67,6)</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(52,7)</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(35,9)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(32,3)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 (77,9)</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Singapura (60,2)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EUA (38,6)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Japão (33,2)</w:t>
            </w:r>
          </w:p>
        </w:tc>
      </w:tr>
    </w:tbl>
    <w:p w:rsidR="00000000" w:rsidDel="00000000" w:rsidP="00000000" w:rsidRDefault="00000000" w:rsidRPr="00000000" w14:paraId="000000B3">
      <w:pPr>
        <w:spacing w:line="3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Fonte: elaborado pelo autor a partir dos dados do WITS.</w:t>
      </w:r>
    </w:p>
    <w:p w:rsidR="00000000" w:rsidDel="00000000" w:rsidP="00000000" w:rsidRDefault="00000000" w:rsidRPr="00000000" w14:paraId="000000B4">
      <w:pPr>
        <w:spacing w:line="360" w:lineRule="auto"/>
        <w:ind w:lef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Gráfico 3 -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Gastos em Defesa em proporção do PIB (2010-2018)</w:t>
      </w:r>
    </w:p>
    <w:p w:rsidR="00000000" w:rsidDel="00000000" w:rsidP="00000000" w:rsidRDefault="00000000" w:rsidRPr="00000000" w14:paraId="000000B6">
      <w:pPr>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7">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2747963" cy="1677471"/>
            <wp:effectExtent b="0" l="0" r="0" t="0"/>
            <wp:docPr descr="Gráfico" id="8" name="image5.png"/>
            <a:graphic>
              <a:graphicData uri="http://schemas.openxmlformats.org/drawingml/2006/picture">
                <pic:pic>
                  <pic:nvPicPr>
                    <pic:cNvPr descr="Gráfico" id="0" name="image5.png"/>
                    <pic:cNvPicPr preferRelativeResize="0"/>
                  </pic:nvPicPr>
                  <pic:blipFill>
                    <a:blip r:embed="rId11"/>
                    <a:srcRect b="0" l="0" r="0" t="0"/>
                    <a:stretch>
                      <a:fillRect/>
                    </a:stretch>
                  </pic:blipFill>
                  <pic:spPr>
                    <a:xfrm>
                      <a:off x="0" y="0"/>
                      <a:ext cx="2747963" cy="1677471"/>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Fonte: elaborado pelo autor a partir dos relatórios Military Balance de 2011 a 2019.</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Gráfico 4 - Visitas Internacionais do Primeiro-Ministro da Malásia (2009-2018)</w:t>
      </w:r>
      <w:r w:rsidDel="00000000" w:rsidR="00000000" w:rsidRPr="00000000">
        <w:rPr>
          <w:rtl w:val="0"/>
        </w:rPr>
      </w:r>
    </w:p>
    <w:p w:rsidR="00000000" w:rsidDel="00000000" w:rsidP="00000000" w:rsidRDefault="00000000" w:rsidRPr="00000000" w14:paraId="000000BB">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3729038" cy="1585822"/>
            <wp:effectExtent b="0" l="0" r="0" t="0"/>
            <wp:docPr id="11"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3729038" cy="1585822"/>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spacing w:line="240" w:lineRule="auto"/>
        <w:rPr>
          <w:b w:val="1"/>
          <w:bCs w:val="1"/>
          <w:sz w:val="20"/>
          <w:szCs w:val="20"/>
        </w:rPr>
      </w:pPr>
      <w:r w:rsidDel="00000000" w:rsidR="00000000" w:rsidRPr="00000000">
        <w:rPr>
          <w:rFonts w:ascii="Times New Roman" w:cs="Times New Roman" w:eastAsia="Times New Roman" w:hAnsi="Times New Roman"/>
          <w:sz w:val="20"/>
          <w:szCs w:val="20"/>
          <w:rtl w:val="0"/>
        </w:rPr>
        <w:t xml:space="preserve">Fonte: elaborado pelo autor com dados da base de dados COLT da Universidade de Denver.</w:t>
      </w:r>
      <w:r w:rsidDel="00000000" w:rsidR="00000000" w:rsidRPr="00000000">
        <w:rPr>
          <w:rtl w:val="0"/>
        </w:rPr>
      </w:r>
    </w:p>
    <w:p w:rsidR="00000000" w:rsidDel="00000000" w:rsidP="00000000" w:rsidRDefault="00000000" w:rsidRPr="00000000" w14:paraId="000000BD">
      <w:pPr>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E">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Tabela 5 - Principais fornecedores de armamentos militares para a Malásia (2010-2018)  </w:t>
        <w:br w:type="textWrapping"/>
      </w:r>
    </w:p>
    <w:tbl>
      <w:tblPr>
        <w:tblStyle w:val="Table5"/>
        <w:tblW w:w="65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2595"/>
        <w:gridCol w:w="1995"/>
        <w:tblGridChange w:id="0">
          <w:tblGrid>
            <w:gridCol w:w="1995"/>
            <w:gridCol w:w="2595"/>
            <w:gridCol w:w="19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País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TIV (2010-2018)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Porcentagem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Espanha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292</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Alemanha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157</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Turquia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França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139</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Coreia do Sul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Estados Unidos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46</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Rússia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r>
    </w:tbl>
    <w:p w:rsidR="00000000" w:rsidDel="00000000" w:rsidP="00000000" w:rsidRDefault="00000000" w:rsidRPr="00000000" w14:paraId="000000D7">
      <w:pPr>
        <w:spacing w:line="3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0"/>
          <w:szCs w:val="20"/>
          <w:rtl w:val="0"/>
        </w:rPr>
        <w:t xml:space="preserve">Fonte: elaborado pelo autor com dados do SIPRI.</w:t>
      </w:r>
    </w:p>
    <w:p w:rsidR="00000000" w:rsidDel="00000000" w:rsidP="00000000" w:rsidRDefault="00000000" w:rsidRPr="00000000" w14:paraId="000000D8">
      <w:pPr>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9">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final do governo de Najib Razak foi marcado por escândalos de corrupção cujos impactos custaram não apenas a carreira de Razak como levaram à derrota eleitoral de sua coalizão, Barisan Nasional (BN), que estava no poder desde a independência, para o Pakatan Harapan do ex-Primeiro-Ministro Mahathir (Gerstl, 2022, p.47). Uma vez no poder e seguindo a retórica eleitoral crítica à Nova Rota da Seda, Mahathir suspendeu projetos de investimentos chineses firmados no governo Najib Razak como East </w:t>
      </w:r>
      <w:r w:rsidDel="00000000" w:rsidR="00000000" w:rsidRPr="00000000">
        <w:rPr>
          <w:rFonts w:ascii="Times New Roman" w:cs="Times New Roman" w:eastAsia="Times New Roman" w:hAnsi="Times New Roman"/>
          <w:i w:val="1"/>
          <w:iCs w:val="1"/>
          <w:sz w:val="24"/>
          <w:szCs w:val="24"/>
          <w:rtl w:val="0"/>
        </w:rPr>
        <w:t xml:space="preserve">Coast Rail Link </w:t>
      </w:r>
      <w:r w:rsidDel="00000000" w:rsidR="00000000" w:rsidRPr="00000000">
        <w:rPr>
          <w:rFonts w:ascii="Times New Roman" w:cs="Times New Roman" w:eastAsia="Times New Roman" w:hAnsi="Times New Roman"/>
          <w:sz w:val="24"/>
          <w:szCs w:val="24"/>
          <w:rtl w:val="0"/>
        </w:rPr>
        <w:t xml:space="preserve">(ECRL), o qual foi alvo de reavaliação posterior e objeto de renegociação bilateral (Ngeow, 2019, pp.29-31). Apesar das críticas e das discussões sobre a renegociação do projeto ECRL, é inadequado dizer que houve uma mudança na postura da administração Mahathir  perante a China, uma vez que as críticas eram direcionadas a projetos considerados problemáticos e sempre centradas na administração Najib Razak (Ngeow, 2019, p.26). Os dados de comércio (Tabela 6), visitas internacionais (Gráfico 5), Gastos militares em proporção do PIB (Gráfico 6) e de principais parceiros fornecedores de armamentos (Tabela 7) mostram que o segundo mandato de Mahathir Mohamad (2018-2020) manteve a linha mestra das administrações Badawi e  Najib Razak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Comercialmente, a China se manteve como a principal parceira comercial da Malásia, enquanto que os gastos militares como proporção do PIB se mantiveram no mesmo patamar observado na administração Najib Razak. Em termos de visitas internacionais, o foco de Mahathir Mohamad foram os países do Sudeste Asiático como Brunei e Tailândia, seguido do Japão. Finalmente, quando se analisa os principais parceiros de armamentos malaios para o período 2018 a 2020, pode-se perceber uma queda no número de entregas tanto em relação ao mandato de Najib Razak e Badawi como também a manutenção de parcerias com países da OTAN (Turquia, França e Alemanha), Coreia do Sul e uma maior diversificação de parceiros militares com África do Sul e China aumentando as suas presenças nas entregas militares para a Malásia.   </w:t>
      </w:r>
    </w:p>
    <w:p w:rsidR="00000000" w:rsidDel="00000000" w:rsidP="00000000" w:rsidRDefault="00000000" w:rsidRPr="00000000" w14:paraId="000000DA">
      <w:pPr>
        <w:spacing w:line="36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B">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Tabela 6 -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Principais parceiros comerciais da Malásia (2018- 2020 ) </w:t>
      </w:r>
      <w:r w:rsidDel="00000000" w:rsidR="00000000" w:rsidRPr="00000000">
        <w:rPr>
          <w:rtl w:val="0"/>
        </w:rPr>
      </w:r>
    </w:p>
    <w:tbl>
      <w:tblPr>
        <w:tblStyle w:val="Table6"/>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5"/>
        <w:gridCol w:w="1650"/>
        <w:gridCol w:w="1935"/>
        <w:gridCol w:w="1800"/>
        <w:gridCol w:w="1800"/>
        <w:tblGridChange w:id="0">
          <w:tblGrid>
            <w:gridCol w:w="1815"/>
            <w:gridCol w:w="1650"/>
            <w:gridCol w:w="1935"/>
            <w:gridCol w:w="1800"/>
            <w:gridCol w:w="1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3º parceiro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4º parceiro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(77,9)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(60,2)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(38,6)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(33,2)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(76,4)</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(54,6)</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(39,9)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(31,2)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(78,8)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Singapura (51,3)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EUA (42,5)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Japão (29,5)</w:t>
            </w:r>
          </w:p>
        </w:tc>
      </w:tr>
    </w:tbl>
    <w:p w:rsidR="00000000" w:rsidDel="00000000" w:rsidP="00000000" w:rsidRDefault="00000000" w:rsidRPr="00000000" w14:paraId="000000F0">
      <w:pPr>
        <w:spacing w:line="3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Fonte: confecção do autor a partir dos dados do WITS).</w:t>
      </w:r>
    </w:p>
    <w:p w:rsidR="00000000" w:rsidDel="00000000" w:rsidP="00000000" w:rsidRDefault="00000000" w:rsidRPr="00000000" w14:paraId="000000F1">
      <w:pPr>
        <w:spacing w:line="36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Gráfico 5 -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Visitas Internacionais do Primeiro-Ministro da Malásia (2009-2018)</w:t>
      </w:r>
    </w:p>
    <w:p w:rsidR="00000000" w:rsidDel="00000000" w:rsidP="00000000" w:rsidRDefault="00000000" w:rsidRPr="00000000" w14:paraId="000000F3">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3986213" cy="1850450"/>
            <wp:effectExtent b="0" l="0" r="0" t="0"/>
            <wp:docPr id="10"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3986213" cy="1850450"/>
                    </a:xfrm>
                    <a:prstGeom prst="rect"/>
                    <a:ln/>
                  </pic:spPr>
                </pic:pic>
              </a:graphicData>
            </a:graphic>
          </wp:inline>
        </w:drawing>
      </w:r>
      <w:r w:rsidDel="00000000" w:rsidR="00000000" w:rsidRPr="00000000">
        <w:rPr>
          <w:rtl w:val="0"/>
        </w:rPr>
      </w:r>
    </w:p>
    <w:p w:rsidR="00000000" w:rsidDel="00000000" w:rsidP="00000000" w:rsidRDefault="00000000" w:rsidRPr="00000000" w14:paraId="000000F5">
      <w:pPr>
        <w:spacing w:line="240" w:lineRule="auto"/>
        <w:rPr>
          <w:sz w:val="20"/>
          <w:szCs w:val="20"/>
        </w:rPr>
      </w:pPr>
      <w:r w:rsidDel="00000000" w:rsidR="00000000" w:rsidRPr="00000000">
        <w:rPr>
          <w:rFonts w:ascii="Times New Roman" w:cs="Times New Roman" w:eastAsia="Times New Roman" w:hAnsi="Times New Roman"/>
          <w:sz w:val="20"/>
          <w:szCs w:val="20"/>
          <w:rtl w:val="0"/>
        </w:rPr>
        <w:t xml:space="preserve">Fonte: confecção do autor a partir dos dados colhidos na base de dados COLT da Universidade de Denver.</w:t>
      </w:r>
      <w:r w:rsidDel="00000000" w:rsidR="00000000" w:rsidRPr="00000000">
        <w:rPr>
          <w:rtl w:val="0"/>
        </w:rPr>
      </w:r>
    </w:p>
    <w:p w:rsidR="00000000" w:rsidDel="00000000" w:rsidP="00000000" w:rsidRDefault="00000000" w:rsidRPr="00000000" w14:paraId="000000F6">
      <w:pPr>
        <w:spacing w:line="36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Gráfico 6 -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Gastos em Defesa em proporção do PIB (2018-2020)</w:t>
      </w:r>
    </w:p>
    <w:p w:rsidR="00000000" w:rsidDel="00000000" w:rsidP="00000000" w:rsidRDefault="00000000" w:rsidRPr="00000000" w14:paraId="000000F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3033713" cy="1870966"/>
            <wp:effectExtent b="0" l="0" r="0" t="0"/>
            <wp:docPr descr="Gráfico" id="12" name="image4.png"/>
            <a:graphic>
              <a:graphicData uri="http://schemas.openxmlformats.org/drawingml/2006/picture">
                <pic:pic>
                  <pic:nvPicPr>
                    <pic:cNvPr descr="Gráfico" id="0" name="image4.png"/>
                    <pic:cNvPicPr preferRelativeResize="0"/>
                  </pic:nvPicPr>
                  <pic:blipFill>
                    <a:blip r:embed="rId14"/>
                    <a:srcRect b="0" l="0" r="0" t="0"/>
                    <a:stretch>
                      <a:fillRect/>
                    </a:stretch>
                  </pic:blipFill>
                  <pic:spPr>
                    <a:xfrm>
                      <a:off x="0" y="0"/>
                      <a:ext cx="3033713" cy="1870966"/>
                    </a:xfrm>
                    <a:prstGeom prst="rect"/>
                    <a:ln/>
                  </pic:spPr>
                </pic:pic>
              </a:graphicData>
            </a:graphic>
          </wp:inline>
        </w:drawing>
      </w:r>
      <w:r w:rsidDel="00000000" w:rsidR="00000000" w:rsidRPr="00000000">
        <w:rPr>
          <w:rtl w:val="0"/>
        </w:rPr>
      </w:r>
    </w:p>
    <w:p w:rsidR="00000000" w:rsidDel="00000000" w:rsidP="00000000" w:rsidRDefault="00000000" w:rsidRPr="00000000" w14:paraId="000000FA">
      <w:pPr>
        <w:spacing w:line="240" w:lineRule="auto"/>
        <w:rPr>
          <w:sz w:val="20"/>
          <w:szCs w:val="20"/>
        </w:rPr>
      </w:pPr>
      <w:r w:rsidDel="00000000" w:rsidR="00000000" w:rsidRPr="00000000">
        <w:rPr>
          <w:rFonts w:ascii="Times New Roman" w:cs="Times New Roman" w:eastAsia="Times New Roman" w:hAnsi="Times New Roman"/>
          <w:sz w:val="20"/>
          <w:szCs w:val="20"/>
          <w:rtl w:val="0"/>
        </w:rPr>
        <w:t xml:space="preserve">Fonte: confecção do autor a partir dos relatórios Military Balance de 2019 a 2021.</w:t>
      </w: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Tabela 7 - Principais fornecedores de armamentos militares para a Malásia (2018-2020)</w:t>
      </w:r>
    </w:p>
    <w:p w:rsidR="00000000" w:rsidDel="00000000" w:rsidP="00000000" w:rsidRDefault="00000000" w:rsidRPr="00000000" w14:paraId="000000FD">
      <w:pPr>
        <w:rPr>
          <w:rFonts w:ascii="Times New Roman" w:cs="Times New Roman" w:eastAsia="Times New Roman" w:hAnsi="Times New Roman"/>
          <w:b w:val="1"/>
          <w:bCs w:val="1"/>
          <w:sz w:val="24"/>
          <w:szCs w:val="24"/>
        </w:rPr>
      </w:pPr>
      <w:r w:rsidDel="00000000" w:rsidR="00000000" w:rsidRPr="00000000">
        <w:rPr>
          <w:rtl w:val="0"/>
        </w:rPr>
      </w:r>
    </w:p>
    <w:tbl>
      <w:tblPr>
        <w:tblStyle w:val="Table7"/>
        <w:tblW w:w="65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2595"/>
        <w:gridCol w:w="1995"/>
        <w:tblGridChange w:id="0">
          <w:tblGrid>
            <w:gridCol w:w="1995"/>
            <w:gridCol w:w="2595"/>
            <w:gridCol w:w="19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País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Valor TIV (2018-2020)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Porcentagem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Turquia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67</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Coreia do Sul</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África do Sul</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28</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França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Alemanha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4,9%</w:t>
            </w:r>
          </w:p>
        </w:tc>
      </w:tr>
    </w:tbl>
    <w:p w:rsidR="00000000" w:rsidDel="00000000" w:rsidP="00000000" w:rsidRDefault="00000000" w:rsidRPr="00000000" w14:paraId="00000113">
      <w:pPr>
        <w:spacing w:line="3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Fonte: elaborado pelo autor com dados do SIPRI.</w:t>
      </w:r>
    </w:p>
    <w:p w:rsidR="00000000" w:rsidDel="00000000" w:rsidP="00000000" w:rsidRDefault="00000000" w:rsidRPr="00000000" w14:paraId="00000114">
      <w:pPr>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15">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III - CONSIDERAÇÕES FINAIS</w:t>
      </w:r>
    </w:p>
    <w:p w:rsidR="00000000" w:rsidDel="00000000" w:rsidP="00000000" w:rsidRDefault="00000000" w:rsidRPr="00000000" w14:paraId="00000116">
      <w:pPr>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117">
      <w:pPr>
        <w:spacing w:line="360" w:lineRule="auto"/>
        <w:ind w:left="0" w:firstLine="7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O objetivo do presente trabalho foi analisar a política externa malaia para o período de 2003 até 2020 e avaliar se ela poderia ser avaliada como sendo de uma estratégia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Em termos gerais, pode-se perceber que a Malásia tem como uma elemento central da sua política externa o esforço de evitar alinhamentos automáticos e fazer uso dessa posição para extrair os maiores benefícios possíveis. A partir dos anos 1990 e 2000, a Malásia se aproximou da China para se beneficiar do seu crescimento econômico, mas também para mitigar os impactos da criação do NAFTA e da UE para a economia malaia. No entanto, a Malásia e a China têm várias tensões bilaterais não resolvidas, como a questão do Mar do Sul da China, o tratamento chinês aos muçulmanos de Xinjiang e as tensões decorrentes da expressiva minoria chinesa presente na Malásia. O resultado dessa situação é que </w:t>
      </w:r>
      <w:r w:rsidDel="00000000" w:rsidR="00000000" w:rsidRPr="00000000">
        <w:rPr>
          <w:rFonts w:ascii="Times New Roman" w:cs="Times New Roman" w:eastAsia="Times New Roman" w:hAnsi="Times New Roman"/>
          <w:sz w:val="24"/>
          <w:szCs w:val="24"/>
          <w:rtl w:val="0"/>
        </w:rPr>
        <w:t xml:space="preserve">Kuala Lumpur </w:t>
      </w:r>
      <w:r w:rsidDel="00000000" w:rsidR="00000000" w:rsidRPr="00000000">
        <w:rPr>
          <w:rFonts w:ascii="Times New Roman" w:cs="Times New Roman" w:eastAsia="Times New Roman" w:hAnsi="Times New Roman"/>
          <w:sz w:val="24"/>
          <w:szCs w:val="24"/>
          <w:rtl w:val="0"/>
        </w:rPr>
        <w:t xml:space="preserve">precisa equilibrar os seus laços tanto com Washington como com Pequim, para manter a sua margem de autonomia internacional. </w:t>
        <w:br w:type="textWrapping"/>
        <w:t xml:space="preserve"> </w:t>
        <w:tab/>
        <w:t xml:space="preserve">Para isso, identificou-se que a Malásia adotou uma estratégia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porque no período do recorte temporal utilizado, ela equilibrava tanto o engajamento econômico com a China -principal parceiro comercial da Malásia desde o final do mandato de Badawi- com um engajamento político intenso com os demais países do Sudeste Asiático, assim como com potências ocidentais, ao exemplo dos EUA e Reino Unido. No entanto, o aspecto militar é o mais delicado, uma vez que os gastos militares como proporção do PIB  tiveram uma queda durante os mandatos analisados. Especificamente para as compras militares, percebeu-se uma transição de equipamentos russos para equipamentos ocidentais, sobretudo europeus, nos três mandatos analisados e uma queda nas entregas militares. Desse modo, o mandato com de maiores entregas militares foi o de Badawi e o de menor justamente o de Mahathir Mohamad, cuja eleição foi marcada por críticas aos projetos chineses na Malásia, o que pode ser aprofundado melhor em pesquisas futuras. Nesse sentido, pretendeu-se comprovar empiricamente que a política externa da Malásia, para o período de 2003 até 2020, tem todos os componentes para ser considerada uma estratégia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dentro de um contexto de uma  rivalidade sino-americana mais ampla, indicando para a volatilidade do cenário internacional. Com isso, pretende-se produzir insumos que possam ser úteis para analisar outros cenários em que essa rivalidade se faz presente, tal como observamos na atualidade, como na América do Sul, e a desenvolver parâmetros empíricos para analisar as eventuais estratégias de </w:t>
      </w:r>
      <w:r w:rsidDel="00000000" w:rsidR="00000000" w:rsidRPr="00000000">
        <w:rPr>
          <w:rFonts w:ascii="Times New Roman" w:cs="Times New Roman" w:eastAsia="Times New Roman" w:hAnsi="Times New Roman"/>
          <w:i w:val="1"/>
          <w:iCs w:val="1"/>
          <w:sz w:val="24"/>
          <w:szCs w:val="24"/>
          <w:rtl w:val="0"/>
        </w:rPr>
        <w:t xml:space="preserve">hedging</w:t>
      </w:r>
      <w:r w:rsidDel="00000000" w:rsidR="00000000" w:rsidRPr="00000000">
        <w:rPr>
          <w:rFonts w:ascii="Times New Roman" w:cs="Times New Roman" w:eastAsia="Times New Roman" w:hAnsi="Times New Roman"/>
          <w:sz w:val="24"/>
          <w:szCs w:val="24"/>
          <w:rtl w:val="0"/>
        </w:rPr>
        <w:t xml:space="preserve"> na área de pesquisa das Relações Internacionais.   </w:t>
      </w:r>
      <w:r w:rsidDel="00000000" w:rsidR="00000000" w:rsidRPr="00000000">
        <w:rPr>
          <w:rtl w:val="0"/>
        </w:rPr>
      </w:r>
    </w:p>
    <w:p w:rsidR="00000000" w:rsidDel="00000000" w:rsidP="00000000" w:rsidRDefault="00000000" w:rsidRPr="00000000" w14:paraId="00000118">
      <w:pPr>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19">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REFERÊNCIAS </w:t>
      </w:r>
    </w:p>
    <w:p w:rsidR="00000000" w:rsidDel="00000000" w:rsidP="00000000" w:rsidRDefault="00000000" w:rsidRPr="00000000" w14:paraId="0000011A">
      <w:pPr>
        <w:spacing w:line="240" w:lineRule="auto"/>
        <w:ind w:left="0" w:firstLine="0"/>
        <w:rPr>
          <w:rFonts w:ascii="Roboto" w:cs="Roboto" w:eastAsia="Roboto" w:hAnsi="Roboto"/>
          <w:color w:val="222222"/>
          <w:sz w:val="24"/>
          <w:szCs w:val="24"/>
          <w:highlight w:val="white"/>
        </w:rPr>
      </w:pPr>
      <w:r w:rsidDel="00000000" w:rsidR="00000000" w:rsidRPr="00000000">
        <w:rPr>
          <w:rtl w:val="0"/>
        </w:rPr>
      </w:r>
    </w:p>
    <w:p w:rsidR="00000000" w:rsidDel="00000000" w:rsidP="00000000" w:rsidRDefault="00000000" w:rsidRPr="00000000" w14:paraId="0000011B">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104, n. 1, p. 161-193, jan. 2004. Informa UK Limited. </w:t>
      </w:r>
      <w:hyperlink r:id="rId15">
        <w:r w:rsidDel="00000000" w:rsidR="00000000" w:rsidRPr="00000000">
          <w:rPr>
            <w:rFonts w:ascii="Times New Roman" w:cs="Times New Roman" w:eastAsia="Times New Roman" w:hAnsi="Times New Roman"/>
            <w:color w:val="1155cc"/>
            <w:highlight w:val="white"/>
            <w:u w:val="single"/>
            <w:rtl w:val="0"/>
          </w:rPr>
          <w:t xml:space="preserve">http://dx.doi.org/10.1080/725292368</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1C">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1D">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105, n. 1, p. 259-314, jan. 2005. Informa UK Limited. </w:t>
      </w:r>
      <w:hyperlink r:id="rId16">
        <w:r w:rsidDel="00000000" w:rsidR="00000000" w:rsidRPr="00000000">
          <w:rPr>
            <w:rFonts w:ascii="Times New Roman" w:cs="Times New Roman" w:eastAsia="Times New Roman" w:hAnsi="Times New Roman"/>
            <w:color w:val="1155cc"/>
            <w:highlight w:val="white"/>
            <w:u w:val="single"/>
            <w:rtl w:val="0"/>
          </w:rPr>
          <w:t xml:space="preserve">http://dx.doi.org/10.1080/04597220500387662</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1E">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1F">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106, n. 1, p. 247-302, jun. 2006. Informa UK Limited. </w:t>
      </w:r>
      <w:hyperlink r:id="rId17">
        <w:r w:rsidDel="00000000" w:rsidR="00000000" w:rsidRPr="00000000">
          <w:rPr>
            <w:rFonts w:ascii="Times New Roman" w:cs="Times New Roman" w:eastAsia="Times New Roman" w:hAnsi="Times New Roman"/>
            <w:color w:val="1155cc"/>
            <w:highlight w:val="white"/>
            <w:u w:val="single"/>
            <w:rtl w:val="0"/>
          </w:rPr>
          <w:t xml:space="preserve">http://dx.doi.org/10.1080/04597220600782887</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0">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1">
      <w:pPr>
        <w:spacing w:line="240" w:lineRule="auto"/>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107, n. 1, p. 331-384, fev. 2007. Informa UK Limited. </w:t>
      </w:r>
      <w:hyperlink r:id="rId18">
        <w:r w:rsidDel="00000000" w:rsidR="00000000" w:rsidRPr="00000000">
          <w:rPr>
            <w:rFonts w:ascii="Times New Roman" w:cs="Times New Roman" w:eastAsia="Times New Roman" w:hAnsi="Times New Roman"/>
            <w:color w:val="1155cc"/>
            <w:highlight w:val="white"/>
            <w:u w:val="single"/>
            <w:rtl w:val="0"/>
          </w:rPr>
          <w:t xml:space="preserve">http://dx.doi.org/10.1080/04597220601181097</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2">
      <w:pPr>
        <w:spacing w:line="240" w:lineRule="auto"/>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3">
      <w:pPr>
        <w:spacing w:line="240" w:lineRule="auto"/>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108, n. 1, p. 359-416, fev. 2008. Informa UK Limited. </w:t>
      </w:r>
      <w:hyperlink r:id="rId19">
        <w:r w:rsidDel="00000000" w:rsidR="00000000" w:rsidRPr="00000000">
          <w:rPr>
            <w:rFonts w:ascii="Times New Roman" w:cs="Times New Roman" w:eastAsia="Times New Roman" w:hAnsi="Times New Roman"/>
            <w:color w:val="1155cc"/>
            <w:highlight w:val="white"/>
            <w:u w:val="single"/>
            <w:rtl w:val="0"/>
          </w:rPr>
          <w:t xml:space="preserve">http://dx.doi.org/10.1080/04597220801912879</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4">
      <w:pPr>
        <w:spacing w:line="240" w:lineRule="auto"/>
        <w:ind w:left="0" w:firstLine="0"/>
        <w:jc w:val="both"/>
        <w:rPr/>
      </w:pPr>
      <w:r w:rsidDel="00000000" w:rsidR="00000000" w:rsidRPr="00000000">
        <w:rPr>
          <w:rtl w:val="0"/>
        </w:rPr>
      </w:r>
    </w:p>
    <w:p w:rsidR="00000000" w:rsidDel="00000000" w:rsidP="00000000" w:rsidRDefault="00000000" w:rsidRPr="00000000" w14:paraId="00000125">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Eight: East Asia and Australasia. 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109, n. 1, p. 363-424, fev. 2009. Informa UK Limited. </w:t>
      </w:r>
      <w:hyperlink r:id="rId20">
        <w:r w:rsidDel="00000000" w:rsidR="00000000" w:rsidRPr="00000000">
          <w:rPr>
            <w:rFonts w:ascii="Times New Roman" w:cs="Times New Roman" w:eastAsia="Times New Roman" w:hAnsi="Times New Roman"/>
            <w:color w:val="1155cc"/>
            <w:highlight w:val="white"/>
            <w:u w:val="single"/>
            <w:rtl w:val="0"/>
          </w:rPr>
          <w:t xml:space="preserve">http://dx.doi.org/10.1080/04597220802709936</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6">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7">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Eight: East Asia and Australasia. East Asia and Australasia.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110, n. 1, p. 377-440, fev. 2010. Informa UK Limited. </w:t>
      </w:r>
      <w:hyperlink r:id="rId21">
        <w:r w:rsidDel="00000000" w:rsidR="00000000" w:rsidRPr="00000000">
          <w:rPr>
            <w:rFonts w:ascii="Times New Roman" w:cs="Times New Roman" w:eastAsia="Times New Roman" w:hAnsi="Times New Roman"/>
            <w:color w:val="1155cc"/>
            <w:highlight w:val="white"/>
            <w:u w:val="single"/>
            <w:rtl w:val="0"/>
          </w:rPr>
          <w:t xml:space="preserve">http://dx.doi.org/10.1080/04597220903545874</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8">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9">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111, n. 1, p. 195-292, fev. 2011. Informa UK Limited. </w:t>
      </w:r>
      <w:hyperlink r:id="rId22">
        <w:r w:rsidDel="00000000" w:rsidR="00000000" w:rsidRPr="00000000">
          <w:rPr>
            <w:rFonts w:ascii="Times New Roman" w:cs="Times New Roman" w:eastAsia="Times New Roman" w:hAnsi="Times New Roman"/>
            <w:color w:val="1155cc"/>
            <w:highlight w:val="white"/>
            <w:u w:val="single"/>
            <w:rtl w:val="0"/>
          </w:rPr>
          <w:t xml:space="preserve">http://dx.doi.org/10.1080/04597222.2011.559837</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A">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B">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112, n. 1, p. 205-302, fev. 2012. Informa UK Limited. </w:t>
      </w:r>
      <w:hyperlink r:id="rId23">
        <w:r w:rsidDel="00000000" w:rsidR="00000000" w:rsidRPr="00000000">
          <w:rPr>
            <w:rFonts w:ascii="Times New Roman" w:cs="Times New Roman" w:eastAsia="Times New Roman" w:hAnsi="Times New Roman"/>
            <w:color w:val="1155cc"/>
            <w:highlight w:val="white"/>
            <w:u w:val="single"/>
            <w:rtl w:val="0"/>
          </w:rPr>
          <w:t xml:space="preserve">http://dx.doi.org/10.1080/04597222.2012.663215</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C">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D">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113, n. 1, p. 245-352, fev. 2013. Informa UK Limited. </w:t>
      </w:r>
      <w:hyperlink r:id="rId24">
        <w:r w:rsidDel="00000000" w:rsidR="00000000" w:rsidRPr="00000000">
          <w:rPr>
            <w:rFonts w:ascii="Times New Roman" w:cs="Times New Roman" w:eastAsia="Times New Roman" w:hAnsi="Times New Roman"/>
            <w:color w:val="1155cc"/>
            <w:highlight w:val="white"/>
            <w:u w:val="single"/>
            <w:rtl w:val="0"/>
          </w:rPr>
          <w:t xml:space="preserve">http://dx.doi.org/10.1080/04597222.2013.757002</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2E">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2F">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114, n. 1, p. 201-296, jan. 2014. Informa UK Limited. </w:t>
      </w:r>
      <w:hyperlink r:id="rId25">
        <w:r w:rsidDel="00000000" w:rsidR="00000000" w:rsidRPr="00000000">
          <w:rPr>
            <w:rFonts w:ascii="Times New Roman" w:cs="Times New Roman" w:eastAsia="Times New Roman" w:hAnsi="Times New Roman"/>
            <w:color w:val="1155cc"/>
            <w:highlight w:val="white"/>
            <w:u w:val="single"/>
            <w:rtl w:val="0"/>
          </w:rPr>
          <w:t xml:space="preserve">http://dx.doi.org/10.1080/04597222.2014.871879</w:t>
        </w:r>
      </w:hyperlink>
      <w:r w:rsidDel="00000000" w:rsidR="00000000" w:rsidRPr="00000000">
        <w:rPr>
          <w:rFonts w:ascii="Times New Roman" w:cs="Times New Roman" w:eastAsia="Times New Roman" w:hAnsi="Times New Roman"/>
          <w:color w:val="222222"/>
          <w:highlight w:val="white"/>
          <w:rtl w:val="0"/>
        </w:rPr>
        <w:t xml:space="preserve"> </w:t>
        <w:br w:type="textWrapping"/>
      </w:r>
    </w:p>
    <w:p w:rsidR="00000000" w:rsidDel="00000000" w:rsidP="00000000" w:rsidRDefault="00000000" w:rsidRPr="00000000" w14:paraId="00000130">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116, n. 1, p. 211-306, jan. 2016. Informa UK Limited. </w:t>
      </w:r>
      <w:hyperlink r:id="rId26">
        <w:r w:rsidDel="00000000" w:rsidR="00000000" w:rsidRPr="00000000">
          <w:rPr>
            <w:rFonts w:ascii="Times New Roman" w:cs="Times New Roman" w:eastAsia="Times New Roman" w:hAnsi="Times New Roman"/>
            <w:color w:val="1155cc"/>
            <w:highlight w:val="white"/>
            <w:u w:val="single"/>
            <w:rtl w:val="0"/>
          </w:rPr>
          <w:t xml:space="preserve">http://dx.doi.org/10.1080/04597222.2016.1127567</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31">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2">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117, n. 1, p. 237-350, jan. 2017. Informa UK Limited. </w:t>
      </w:r>
      <w:hyperlink r:id="rId27">
        <w:r w:rsidDel="00000000" w:rsidR="00000000" w:rsidRPr="00000000">
          <w:rPr>
            <w:rFonts w:ascii="Times New Roman" w:cs="Times New Roman" w:eastAsia="Times New Roman" w:hAnsi="Times New Roman"/>
            <w:color w:val="1155cc"/>
            <w:highlight w:val="white"/>
            <w:u w:val="single"/>
            <w:rtl w:val="0"/>
          </w:rPr>
          <w:t xml:space="preserve">http://dx.doi.org/10.1080/04597222.2017.1271212</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33">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4">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118, n. 1, p. 219-314, jan. 2018. Informa UK Limited. </w:t>
      </w:r>
      <w:hyperlink r:id="rId28">
        <w:r w:rsidDel="00000000" w:rsidR="00000000" w:rsidRPr="00000000">
          <w:rPr>
            <w:rFonts w:ascii="Times New Roman" w:cs="Times New Roman" w:eastAsia="Times New Roman" w:hAnsi="Times New Roman"/>
            <w:color w:val="1155cc"/>
            <w:highlight w:val="white"/>
            <w:u w:val="single"/>
            <w:rtl w:val="0"/>
          </w:rPr>
          <w:t xml:space="preserve">http://dx.doi.org/10.1080/04597222.2018.1416982</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35">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6">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119, n. 1, p. 222-319, jan. 2019. Informa UK Limited. </w:t>
      </w:r>
      <w:hyperlink r:id="rId29">
        <w:r w:rsidDel="00000000" w:rsidR="00000000" w:rsidRPr="00000000">
          <w:rPr>
            <w:rFonts w:ascii="Times New Roman" w:cs="Times New Roman" w:eastAsia="Times New Roman" w:hAnsi="Times New Roman"/>
            <w:color w:val="1155cc"/>
            <w:highlight w:val="white"/>
            <w:u w:val="single"/>
            <w:rtl w:val="0"/>
          </w:rPr>
          <w:t xml:space="preserve">http://dx.doi.org/10.1080/04597222.2018.1561032</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37">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8">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Military</w:t>
      </w:r>
      <w:r w:rsidDel="00000000" w:rsidR="00000000" w:rsidRPr="00000000">
        <w:rPr>
          <w:rFonts w:ascii="Times New Roman" w:cs="Times New Roman" w:eastAsia="Times New Roman" w:hAnsi="Times New Roman"/>
          <w:b w:val="1"/>
          <w:bCs w:val="1"/>
          <w:color w:val="222222"/>
          <w:highlight w:val="white"/>
          <w:rtl w:val="0"/>
        </w:rPr>
        <w:t xml:space="preserve"> </w:t>
      </w:r>
      <w:r w:rsidDel="00000000" w:rsidR="00000000" w:rsidRPr="00000000">
        <w:rPr>
          <w:rFonts w:ascii="Times New Roman" w:cs="Times New Roman" w:eastAsia="Times New Roman" w:hAnsi="Times New Roman"/>
          <w:i w:val="1"/>
          <w:iCs w:val="1"/>
          <w:color w:val="222222"/>
          <w:highlight w:val="white"/>
          <w:rtl w:val="0"/>
        </w:rPr>
        <w:t xml:space="preserve">Balance</w:t>
      </w:r>
      <w:r w:rsidDel="00000000" w:rsidR="00000000" w:rsidRPr="00000000">
        <w:rPr>
          <w:rFonts w:ascii="Times New Roman" w:cs="Times New Roman" w:eastAsia="Times New Roman" w:hAnsi="Times New Roman"/>
          <w:color w:val="222222"/>
          <w:highlight w:val="white"/>
          <w:rtl w:val="0"/>
        </w:rPr>
        <w:t xml:space="preserve">, [S.L.], v. 120, n. 1, p. 220-323, 1 jan. 2020. Informa UK Limited. </w:t>
      </w:r>
      <w:hyperlink r:id="rId30">
        <w:r w:rsidDel="00000000" w:rsidR="00000000" w:rsidRPr="00000000">
          <w:rPr>
            <w:rFonts w:ascii="Times New Roman" w:cs="Times New Roman" w:eastAsia="Times New Roman" w:hAnsi="Times New Roman"/>
            <w:color w:val="1155cc"/>
            <w:highlight w:val="white"/>
            <w:u w:val="single"/>
            <w:rtl w:val="0"/>
          </w:rPr>
          <w:t xml:space="preserve">http://dx.doi.org/10.1080/04597222.2020.1707967</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39">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A">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CHAPTER Six: Asia. Asia. </w:t>
      </w:r>
      <w:r w:rsidDel="00000000" w:rsidR="00000000" w:rsidRPr="00000000">
        <w:rPr>
          <w:rFonts w:ascii="Times New Roman" w:cs="Times New Roman" w:eastAsia="Times New Roman" w:hAnsi="Times New Roman"/>
          <w:i w:val="1"/>
          <w:iCs w:val="1"/>
          <w:color w:val="222222"/>
          <w:highlight w:val="white"/>
          <w:rtl w:val="0"/>
        </w:rPr>
        <w:t xml:space="preserve">The Military Balance</w:t>
      </w:r>
      <w:r w:rsidDel="00000000" w:rsidR="00000000" w:rsidRPr="00000000">
        <w:rPr>
          <w:rFonts w:ascii="Times New Roman" w:cs="Times New Roman" w:eastAsia="Times New Roman" w:hAnsi="Times New Roman"/>
          <w:color w:val="222222"/>
          <w:highlight w:val="white"/>
          <w:rtl w:val="0"/>
        </w:rPr>
        <w:t xml:space="preserve">, [S.L.], v. 121, n. 1, p. 218-313, 1 jan. 2021. Informa UK Limited. </w:t>
      </w:r>
      <w:hyperlink r:id="rId31">
        <w:r w:rsidDel="00000000" w:rsidR="00000000" w:rsidRPr="00000000">
          <w:rPr>
            <w:rFonts w:ascii="Times New Roman" w:cs="Times New Roman" w:eastAsia="Times New Roman" w:hAnsi="Times New Roman"/>
            <w:color w:val="1155cc"/>
            <w:highlight w:val="white"/>
            <w:u w:val="single"/>
            <w:rtl w:val="0"/>
          </w:rPr>
          <w:t xml:space="preserve">http://dx.doi.org/10.1080/04597222.2021.1868795</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3B">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C">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GERSTL, Alfred. Malaysia's hedging strategy towards China under Mahathir Mohamad 2.0. In: GERSTL, Alfred. </w:t>
      </w:r>
      <w:r w:rsidDel="00000000" w:rsidR="00000000" w:rsidRPr="00000000">
        <w:rPr>
          <w:rFonts w:ascii="Times New Roman" w:cs="Times New Roman" w:eastAsia="Times New Roman" w:hAnsi="Times New Roman"/>
          <w:i w:val="1"/>
          <w:iCs w:val="1"/>
          <w:color w:val="222222"/>
          <w:highlight w:val="white"/>
          <w:rtl w:val="0"/>
        </w:rPr>
        <w:t xml:space="preserve">HEDGING STRATEGIES IN SOUTHEAST ASIA</w:t>
      </w:r>
      <w:r w:rsidDel="00000000" w:rsidR="00000000" w:rsidRPr="00000000">
        <w:rPr>
          <w:rFonts w:ascii="Times New Roman" w:cs="Times New Roman" w:eastAsia="Times New Roman" w:hAnsi="Times New Roman"/>
          <w:color w:val="222222"/>
          <w:highlight w:val="white"/>
          <w:rtl w:val="0"/>
        </w:rPr>
        <w:t xml:space="preserve">: sean, malaysia, the philippines, and vietnam and their relations with china. New York: Routledge, 2022. p. 46-65 </w:t>
        <w:br w:type="textWrapping"/>
      </w:r>
    </w:p>
    <w:p w:rsidR="00000000" w:rsidDel="00000000" w:rsidP="00000000" w:rsidRDefault="00000000" w:rsidRPr="00000000" w14:paraId="0000013D">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GERSTL, Alfred. The theoretical-methodological framework: a re-conceptualized hedging concept. In: GERSTL, Alfred. </w:t>
      </w:r>
      <w:r w:rsidDel="00000000" w:rsidR="00000000" w:rsidRPr="00000000">
        <w:rPr>
          <w:rFonts w:ascii="Times New Roman" w:cs="Times New Roman" w:eastAsia="Times New Roman" w:hAnsi="Times New Roman"/>
          <w:i w:val="1"/>
          <w:iCs w:val="1"/>
          <w:color w:val="222222"/>
          <w:highlight w:val="white"/>
          <w:rtl w:val="0"/>
        </w:rPr>
        <w:t xml:space="preserve">HEDGING STRATEGIES IN SOUTHEAST ASIA:</w:t>
      </w:r>
      <w:r w:rsidDel="00000000" w:rsidR="00000000" w:rsidRPr="00000000">
        <w:rPr>
          <w:rFonts w:ascii="Times New Roman" w:cs="Times New Roman" w:eastAsia="Times New Roman" w:hAnsi="Times New Roman"/>
          <w:color w:val="222222"/>
          <w:highlight w:val="white"/>
          <w:rtl w:val="0"/>
        </w:rPr>
        <w:t xml:space="preserve"> asean, malaysia, the philippines, and vietnam and their relations with china. New York: Routledge, 2022. p. 15-26 </w:t>
      </w:r>
    </w:p>
    <w:p w:rsidR="00000000" w:rsidDel="00000000" w:rsidP="00000000" w:rsidRDefault="00000000" w:rsidRPr="00000000" w14:paraId="0000013E">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3F">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KHALID, Khadijah Md.. Malaysia 's Foreign Policy under Najib. </w:t>
      </w:r>
      <w:r w:rsidDel="00000000" w:rsidR="00000000" w:rsidRPr="00000000">
        <w:rPr>
          <w:rFonts w:ascii="Times New Roman" w:cs="Times New Roman" w:eastAsia="Times New Roman" w:hAnsi="Times New Roman"/>
          <w:i w:val="1"/>
          <w:iCs w:val="1"/>
          <w:color w:val="222222"/>
          <w:highlight w:val="white"/>
          <w:rtl w:val="0"/>
        </w:rPr>
        <w:t xml:space="preserve">Asian Survey</w:t>
      </w:r>
      <w:r w:rsidDel="00000000" w:rsidR="00000000" w:rsidRPr="00000000">
        <w:rPr>
          <w:rFonts w:ascii="Times New Roman" w:cs="Times New Roman" w:eastAsia="Times New Roman" w:hAnsi="Times New Roman"/>
          <w:color w:val="222222"/>
          <w:highlight w:val="white"/>
          <w:rtl w:val="0"/>
        </w:rPr>
        <w:t xml:space="preserve">, [S.L.], v. 51, n. 3, p. 429-452, 1 maio 2011. University of California Press. </w:t>
      </w:r>
      <w:hyperlink r:id="rId32">
        <w:r w:rsidDel="00000000" w:rsidR="00000000" w:rsidRPr="00000000">
          <w:rPr>
            <w:rFonts w:ascii="Times New Roman" w:cs="Times New Roman" w:eastAsia="Times New Roman" w:hAnsi="Times New Roman"/>
            <w:color w:val="1155cc"/>
            <w:highlight w:val="white"/>
            <w:u w:val="single"/>
            <w:rtl w:val="0"/>
          </w:rPr>
          <w:t xml:space="preserve">http://dx.doi.org/10.1525/as.2011.51.3.429</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40">
      <w:pPr>
        <w:spacing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41">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KUIK, Cheng-Chwee. Getting hedging right: a small-state perspective. </w:t>
      </w:r>
      <w:r w:rsidDel="00000000" w:rsidR="00000000" w:rsidRPr="00000000">
        <w:rPr>
          <w:rFonts w:ascii="Times New Roman" w:cs="Times New Roman" w:eastAsia="Times New Roman" w:hAnsi="Times New Roman"/>
          <w:i w:val="1"/>
          <w:iCs w:val="1"/>
          <w:color w:val="222222"/>
          <w:highlight w:val="white"/>
          <w:rtl w:val="0"/>
        </w:rPr>
        <w:t xml:space="preserve">China International Strategy Review</w:t>
      </w:r>
      <w:r w:rsidDel="00000000" w:rsidR="00000000" w:rsidRPr="00000000">
        <w:rPr>
          <w:rFonts w:ascii="Times New Roman" w:cs="Times New Roman" w:eastAsia="Times New Roman" w:hAnsi="Times New Roman"/>
          <w:color w:val="222222"/>
          <w:highlight w:val="white"/>
          <w:rtl w:val="0"/>
        </w:rPr>
        <w:t xml:space="preserve">, [S.L.], v. 3, n. 2, p. 300-315, 23 nov. 2021. Springer Science and Business Media LLC. </w:t>
      </w:r>
      <w:hyperlink r:id="rId33">
        <w:r w:rsidDel="00000000" w:rsidR="00000000" w:rsidRPr="00000000">
          <w:rPr>
            <w:rFonts w:ascii="Times New Roman" w:cs="Times New Roman" w:eastAsia="Times New Roman" w:hAnsi="Times New Roman"/>
            <w:color w:val="1155cc"/>
            <w:highlight w:val="white"/>
            <w:u w:val="single"/>
            <w:rtl w:val="0"/>
          </w:rPr>
          <w:t xml:space="preserve">http://dx.doi.org/10.1007/s42533-021-00089-5</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42">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43">
      <w:pPr>
        <w:spacing w:line="24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KUİK, Cheng-Chwee. </w:t>
      </w:r>
      <w:r w:rsidDel="00000000" w:rsidR="00000000" w:rsidRPr="00000000">
        <w:rPr>
          <w:rFonts w:ascii="Times New Roman" w:cs="Times New Roman" w:eastAsia="Times New Roman" w:hAnsi="Times New Roman"/>
          <w:i w:val="1"/>
          <w:iCs w:val="1"/>
          <w:rtl w:val="0"/>
        </w:rPr>
        <w:t xml:space="preserve">Malaysia 's U.S. policy under Najib: ambivalence no more?</w:t>
      </w:r>
      <w:r w:rsidDel="00000000" w:rsidR="00000000" w:rsidRPr="00000000">
        <w:rPr>
          <w:rFonts w:ascii="Times New Roman" w:cs="Times New Roman" w:eastAsia="Times New Roman" w:hAnsi="Times New Roman"/>
          <w:rtl w:val="0"/>
        </w:rPr>
        <w:t xml:space="preserve"> Singapore: S. Rajaratnam School of International Studies, Nanyang Technological University, 5 nov. 2012. 27 p. (RSIS Working Paper, n. 250) </w:t>
      </w:r>
    </w:p>
    <w:p w:rsidR="00000000" w:rsidDel="00000000" w:rsidP="00000000" w:rsidRDefault="00000000" w:rsidRPr="00000000" w14:paraId="00000144">
      <w:pPr>
        <w:spacing w:line="240" w:lineRule="auto"/>
        <w:ind w:left="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MOYER, Jonathan D. </w:t>
      </w:r>
      <w:r w:rsidDel="00000000" w:rsidR="00000000" w:rsidRPr="00000000">
        <w:rPr>
          <w:rFonts w:ascii="Times New Roman" w:cs="Times New Roman" w:eastAsia="Times New Roman" w:hAnsi="Times New Roman"/>
          <w:i w:val="1"/>
          <w:iCs w:val="1"/>
          <w:color w:val="222222"/>
          <w:highlight w:val="white"/>
          <w:rtl w:val="0"/>
        </w:rPr>
        <w:t xml:space="preserve">et al.</w:t>
      </w:r>
      <w:r w:rsidDel="00000000" w:rsidR="00000000" w:rsidRPr="00000000">
        <w:rPr>
          <w:rFonts w:ascii="Times New Roman" w:cs="Times New Roman" w:eastAsia="Times New Roman" w:hAnsi="Times New Roman"/>
          <w:color w:val="222222"/>
          <w:highlight w:val="white"/>
          <w:rtl w:val="0"/>
        </w:rPr>
        <w:t xml:space="preserve"> Country and Organization Leader Travel (COLT). Harvard Dataverse, V. 2, 2025. Disponível em:</w:t>
      </w:r>
      <w:hyperlink r:id="rId34">
        <w:r w:rsidDel="00000000" w:rsidR="00000000" w:rsidRPr="00000000">
          <w:rPr>
            <w:rFonts w:ascii="Times New Roman" w:cs="Times New Roman" w:eastAsia="Times New Roman" w:hAnsi="Times New Roman"/>
            <w:color w:val="222222"/>
            <w:highlight w:val="white"/>
            <w:rtl w:val="0"/>
          </w:rPr>
          <w:t xml:space="preserve"> </w:t>
        </w:r>
      </w:hyperlink>
      <w:hyperlink r:id="rId35">
        <w:r w:rsidDel="00000000" w:rsidR="00000000" w:rsidRPr="00000000">
          <w:rPr>
            <w:rFonts w:ascii="Times New Roman" w:cs="Times New Roman" w:eastAsia="Times New Roman" w:hAnsi="Times New Roman"/>
            <w:color w:val="1155cc"/>
            <w:highlight w:val="white"/>
            <w:u w:val="single"/>
            <w:rtl w:val="0"/>
          </w:rPr>
          <w:t xml:space="preserve">https://doi.org/10.7910/DVN/HJK7DN</w:t>
        </w:r>
      </w:hyperlink>
      <w:r w:rsidDel="00000000" w:rsidR="00000000" w:rsidRPr="00000000">
        <w:rPr>
          <w:rFonts w:ascii="Times New Roman" w:cs="Times New Roman" w:eastAsia="Times New Roman" w:hAnsi="Times New Roman"/>
          <w:color w:val="222222"/>
          <w:highlight w:val="white"/>
          <w:rtl w:val="0"/>
        </w:rPr>
        <w:t xml:space="preserve">. Acesso em: 22 jan. 2026. </w:t>
      </w:r>
    </w:p>
    <w:p w:rsidR="00000000" w:rsidDel="00000000" w:rsidP="00000000" w:rsidRDefault="00000000" w:rsidRPr="00000000" w14:paraId="00000146">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47">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NGEOW, Chow-Bing. </w:t>
      </w:r>
      <w:r w:rsidDel="00000000" w:rsidR="00000000" w:rsidRPr="00000000">
        <w:rPr>
          <w:rFonts w:ascii="Times New Roman" w:cs="Times New Roman" w:eastAsia="Times New Roman" w:hAnsi="Times New Roman"/>
          <w:i w:val="1"/>
          <w:iCs w:val="1"/>
          <w:color w:val="222222"/>
          <w:highlight w:val="white"/>
          <w:rtl w:val="0"/>
        </w:rPr>
        <w:t xml:space="preserve">Malaysia-China cooperation on the Belt and Road Initiative under the Pakatan Harapan government: changes, continuities, and prospects.</w:t>
      </w:r>
      <w:r w:rsidDel="00000000" w:rsidR="00000000" w:rsidRPr="00000000">
        <w:rPr>
          <w:rFonts w:ascii="Times New Roman" w:cs="Times New Roman" w:eastAsia="Times New Roman" w:hAnsi="Times New Roman"/>
          <w:color w:val="222222"/>
          <w:highlight w:val="white"/>
          <w:rtl w:val="0"/>
        </w:rPr>
        <w:t xml:space="preserve"> In: NIDS ASEAN Workshop 2019 – </w:t>
      </w:r>
      <w:r w:rsidDel="00000000" w:rsidR="00000000" w:rsidRPr="00000000">
        <w:rPr>
          <w:rFonts w:ascii="Times New Roman" w:cs="Times New Roman" w:eastAsia="Times New Roman" w:hAnsi="Times New Roman"/>
          <w:i w:val="1"/>
          <w:iCs w:val="1"/>
          <w:color w:val="222222"/>
          <w:highlight w:val="white"/>
          <w:rtl w:val="0"/>
        </w:rPr>
        <w:t xml:space="preserve">China’s BRI and ASEAN</w:t>
      </w:r>
      <w:r w:rsidDel="00000000" w:rsidR="00000000" w:rsidRPr="00000000">
        <w:rPr>
          <w:rFonts w:ascii="Times New Roman" w:cs="Times New Roman" w:eastAsia="Times New Roman" w:hAnsi="Times New Roman"/>
          <w:color w:val="222222"/>
          <w:highlight w:val="white"/>
          <w:rtl w:val="0"/>
        </w:rPr>
        <w:t xml:space="preserve">. Tokyo: National Institute for Defense Studies, 2019. (NIDS Joint Research Series No. 17). Cap. 2, p. 25–42. Disponível em:</w:t>
      </w:r>
      <w:hyperlink r:id="rId36">
        <w:r w:rsidDel="00000000" w:rsidR="00000000" w:rsidRPr="00000000">
          <w:rPr>
            <w:rFonts w:ascii="Times New Roman" w:cs="Times New Roman" w:eastAsia="Times New Roman" w:hAnsi="Times New Roman"/>
            <w:color w:val="222222"/>
            <w:highlight w:val="white"/>
            <w:rtl w:val="0"/>
          </w:rPr>
          <w:t xml:space="preserve"> </w:t>
        </w:r>
      </w:hyperlink>
      <w:hyperlink r:id="rId37">
        <w:r w:rsidDel="00000000" w:rsidR="00000000" w:rsidRPr="00000000">
          <w:rPr>
            <w:rFonts w:ascii="Times New Roman" w:cs="Times New Roman" w:eastAsia="Times New Roman" w:hAnsi="Times New Roman"/>
            <w:color w:val="1155cc"/>
            <w:highlight w:val="white"/>
            <w:u w:val="single"/>
            <w:rtl w:val="0"/>
          </w:rPr>
          <w:t xml:space="preserve">https://www.nids.mod.go.jp/english/publication/joint_research/series17/pdf/chapter02.pdf</w:t>
        </w:r>
      </w:hyperlink>
      <w:r w:rsidDel="00000000" w:rsidR="00000000" w:rsidRPr="00000000">
        <w:rPr>
          <w:rFonts w:ascii="Times New Roman" w:cs="Times New Roman" w:eastAsia="Times New Roman" w:hAnsi="Times New Roman"/>
          <w:color w:val="222222"/>
          <w:highlight w:val="white"/>
          <w:rtl w:val="0"/>
        </w:rPr>
        <w:t xml:space="preserve">. Acesso em: 26 jan.2026 </w:t>
      </w:r>
    </w:p>
    <w:p w:rsidR="00000000" w:rsidDel="00000000" w:rsidP="00000000" w:rsidRDefault="00000000" w:rsidRPr="00000000" w14:paraId="00000148">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49">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SILVA, Shakthi de. Making Sense of the Haze: hedging and its attributes. </w:t>
      </w:r>
      <w:r w:rsidDel="00000000" w:rsidR="00000000" w:rsidRPr="00000000">
        <w:rPr>
          <w:rFonts w:ascii="Times New Roman" w:cs="Times New Roman" w:eastAsia="Times New Roman" w:hAnsi="Times New Roman"/>
          <w:i w:val="1"/>
          <w:iCs w:val="1"/>
          <w:color w:val="222222"/>
          <w:highlight w:val="white"/>
          <w:rtl w:val="0"/>
        </w:rPr>
        <w:t xml:space="preserve">University Of Colombo Review,</w:t>
      </w:r>
      <w:r w:rsidDel="00000000" w:rsidR="00000000" w:rsidRPr="00000000">
        <w:rPr>
          <w:rFonts w:ascii="Times New Roman" w:cs="Times New Roman" w:eastAsia="Times New Roman" w:hAnsi="Times New Roman"/>
          <w:color w:val="222222"/>
          <w:highlight w:val="white"/>
          <w:rtl w:val="0"/>
        </w:rPr>
        <w:t xml:space="preserve"> [S.L.], v. 1, n. 1, p. 94, 1 dez. 2020. Sri Lanka Journals Online. </w:t>
      </w:r>
      <w:hyperlink r:id="rId38">
        <w:r w:rsidDel="00000000" w:rsidR="00000000" w:rsidRPr="00000000">
          <w:rPr>
            <w:rFonts w:ascii="Times New Roman" w:cs="Times New Roman" w:eastAsia="Times New Roman" w:hAnsi="Times New Roman"/>
            <w:color w:val="1155cc"/>
            <w:highlight w:val="white"/>
            <w:u w:val="single"/>
            <w:rtl w:val="0"/>
          </w:rPr>
          <w:t xml:space="preserve">http://dx.doi.org/10.4038/ucr.v1i1.31</w:t>
        </w:r>
      </w:hyperlink>
      <w:r w:rsidDel="00000000" w:rsidR="00000000" w:rsidRPr="00000000">
        <w:rPr>
          <w:rFonts w:ascii="Times New Roman" w:cs="Times New Roman" w:eastAsia="Times New Roman" w:hAnsi="Times New Roman"/>
          <w:color w:val="222222"/>
          <w:highlight w:val="white"/>
          <w:rtl w:val="0"/>
        </w:rPr>
        <w:t xml:space="preserve">   </w:t>
      </w:r>
    </w:p>
    <w:p w:rsidR="00000000" w:rsidDel="00000000" w:rsidP="00000000" w:rsidRDefault="00000000" w:rsidRPr="00000000" w14:paraId="0000014A">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4B">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1f1f1f"/>
          <w:highlight w:val="white"/>
          <w:rtl w:val="0"/>
        </w:rPr>
        <w:t xml:space="preserve">STOCKHOLM INTERNATIONAL PEACE RESEARCH INSTITUTE. </w:t>
      </w:r>
      <w:r w:rsidDel="00000000" w:rsidR="00000000" w:rsidRPr="00000000">
        <w:rPr>
          <w:rFonts w:ascii="Times New Roman" w:cs="Times New Roman" w:eastAsia="Times New Roman" w:hAnsi="Times New Roman"/>
          <w:i w:val="1"/>
          <w:iCs w:val="1"/>
          <w:color w:val="1f1f1f"/>
          <w:highlight w:val="white"/>
          <w:rtl w:val="0"/>
        </w:rPr>
        <w:t xml:space="preserve">Arms Transfers: Import/Export</w:t>
      </w:r>
      <w:r w:rsidDel="00000000" w:rsidR="00000000" w:rsidRPr="00000000">
        <w:rPr>
          <w:rFonts w:ascii="Times New Roman" w:cs="Times New Roman" w:eastAsia="Times New Roman" w:hAnsi="Times New Roman"/>
          <w:color w:val="1f1f1f"/>
          <w:highlight w:val="white"/>
          <w:rtl w:val="0"/>
        </w:rPr>
        <w:t xml:space="preserve">. Disponível em: </w:t>
      </w:r>
      <w:hyperlink r:id="rId39">
        <w:r w:rsidDel="00000000" w:rsidR="00000000" w:rsidRPr="00000000">
          <w:rPr>
            <w:rFonts w:ascii="Times New Roman" w:cs="Times New Roman" w:eastAsia="Times New Roman" w:hAnsi="Times New Roman"/>
            <w:color w:val="0b57d0"/>
            <w:highlight w:val="white"/>
            <w:u w:val="single"/>
            <w:rtl w:val="0"/>
          </w:rPr>
          <w:t xml:space="preserve">https://armstransfers.sipri.org/ArmsTransfer/ImportExport</w:t>
        </w:r>
      </w:hyperlink>
      <w:r w:rsidDel="00000000" w:rsidR="00000000" w:rsidRPr="00000000">
        <w:rPr>
          <w:rFonts w:ascii="Times New Roman" w:cs="Times New Roman" w:eastAsia="Times New Roman" w:hAnsi="Times New Roman"/>
          <w:color w:val="1f1f1f"/>
          <w:highlight w:val="white"/>
          <w:rtl w:val="0"/>
        </w:rPr>
        <w:t xml:space="preserve">. Acesso em: 26 jan. 2026. </w:t>
      </w:r>
      <w:r w:rsidDel="00000000" w:rsidR="00000000" w:rsidRPr="00000000">
        <w:rPr>
          <w:rtl w:val="0"/>
        </w:rPr>
      </w:r>
    </w:p>
    <w:p w:rsidR="00000000" w:rsidDel="00000000" w:rsidP="00000000" w:rsidRDefault="00000000" w:rsidRPr="00000000" w14:paraId="0000014C">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tl w:val="0"/>
        </w:rPr>
      </w:r>
    </w:p>
    <w:p w:rsidR="00000000" w:rsidDel="00000000" w:rsidP="00000000" w:rsidRDefault="00000000" w:rsidRPr="00000000" w14:paraId="0000014D">
      <w:pPr>
        <w:spacing w:line="240" w:lineRule="auto"/>
        <w:ind w:left="0" w:firstLine="0"/>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color w:val="222222"/>
          <w:highlight w:val="white"/>
          <w:rtl w:val="0"/>
        </w:rPr>
        <w:t xml:space="preserve">RIDZUAN, I.; MA’DAN, M. Abdullah Badawi’s foreign policy towards China: three-level analysis of a pragmatic and idealistic diplomacy strategy in a two-way cooperation. </w:t>
      </w:r>
      <w:r w:rsidDel="00000000" w:rsidR="00000000" w:rsidRPr="00000000">
        <w:rPr>
          <w:rFonts w:ascii="Times New Roman" w:cs="Times New Roman" w:eastAsia="Times New Roman" w:hAnsi="Times New Roman"/>
          <w:i w:val="1"/>
          <w:iCs w:val="1"/>
          <w:color w:val="222222"/>
          <w:highlight w:val="white"/>
          <w:rtl w:val="0"/>
        </w:rPr>
        <w:t xml:space="preserve">Journal of International Studies</w:t>
      </w:r>
      <w:r w:rsidDel="00000000" w:rsidR="00000000" w:rsidRPr="00000000">
        <w:rPr>
          <w:rFonts w:ascii="Times New Roman" w:cs="Times New Roman" w:eastAsia="Times New Roman" w:hAnsi="Times New Roman"/>
          <w:color w:val="222222"/>
          <w:highlight w:val="white"/>
          <w:rtl w:val="0"/>
        </w:rPr>
        <w:t xml:space="preserve">, v. 19, n. 1, p. 145–168, 2023. Disponível em: </w:t>
      </w:r>
      <w:hyperlink r:id="rId40">
        <w:r w:rsidDel="00000000" w:rsidR="00000000" w:rsidRPr="00000000">
          <w:rPr>
            <w:rFonts w:ascii="Times New Roman" w:cs="Times New Roman" w:eastAsia="Times New Roman" w:hAnsi="Times New Roman"/>
            <w:color w:val="1155cc"/>
            <w:highlight w:val="white"/>
            <w:u w:val="single"/>
            <w:rtl w:val="0"/>
          </w:rPr>
          <w:t xml:space="preserve">https://doi.org/10.32890/jis2023.19.1.6</w:t>
        </w:r>
      </w:hyperlink>
      <w:r w:rsidDel="00000000" w:rsidR="00000000" w:rsidRPr="00000000">
        <w:rPr>
          <w:rFonts w:ascii="Times New Roman" w:cs="Times New Roman" w:eastAsia="Times New Roman" w:hAnsi="Times New Roman"/>
          <w:color w:val="222222"/>
          <w:highlight w:val="white"/>
          <w:rtl w:val="0"/>
        </w:rPr>
        <w:t xml:space="preserve"> . Acesso em: 22 jan. 2026.  </w:t>
        <w:br w:type="textWrapping"/>
      </w:r>
    </w:p>
    <w:p w:rsidR="00000000" w:rsidDel="00000000" w:rsidP="00000000" w:rsidRDefault="00000000" w:rsidRPr="00000000" w14:paraId="0000014E">
      <w:pPr>
        <w:spacing w:line="240" w:lineRule="auto"/>
        <w:jc w:val="both"/>
        <w:rPr>
          <w:rFonts w:ascii="Times New Roman" w:cs="Times New Roman" w:eastAsia="Times New Roman" w:hAnsi="Times New Roman"/>
          <w:color w:val="222222"/>
          <w:highlight w:val="white"/>
        </w:rPr>
      </w:pPr>
      <w:r w:rsidDel="00000000" w:rsidR="00000000" w:rsidRPr="00000000">
        <w:rPr>
          <w:rFonts w:ascii="Times New Roman" w:cs="Times New Roman" w:eastAsia="Times New Roman" w:hAnsi="Times New Roman"/>
          <w:rtl w:val="0"/>
        </w:rPr>
        <w:t xml:space="preserve">WORLD BANK. </w:t>
      </w:r>
      <w:r w:rsidDel="00000000" w:rsidR="00000000" w:rsidRPr="00000000">
        <w:rPr>
          <w:rFonts w:ascii="Times New Roman" w:cs="Times New Roman" w:eastAsia="Times New Roman" w:hAnsi="Times New Roman"/>
          <w:i w:val="1"/>
          <w:iCs w:val="1"/>
          <w:rtl w:val="0"/>
        </w:rPr>
        <w:t xml:space="preserve">WITS – Country Profile: Trade Flow (Export / Import) – Malaysia</w:t>
      </w:r>
      <w:r w:rsidDel="00000000" w:rsidR="00000000" w:rsidRPr="00000000">
        <w:rPr>
          <w:rFonts w:ascii="Times New Roman" w:cs="Times New Roman" w:eastAsia="Times New Roman" w:hAnsi="Times New Roman"/>
          <w:rtl w:val="0"/>
        </w:rPr>
        <w:t xml:space="preserve">. WITS, [s.d.]. Disponível em:</w:t>
      </w:r>
      <w:hyperlink r:id="rId41">
        <w:r w:rsidDel="00000000" w:rsidR="00000000" w:rsidRPr="00000000">
          <w:rPr>
            <w:rFonts w:ascii="Times New Roman" w:cs="Times New Roman" w:eastAsia="Times New Roman" w:hAnsi="Times New Roman"/>
            <w:rtl w:val="0"/>
          </w:rPr>
          <w:t xml:space="preserve"> </w:t>
        </w:r>
      </w:hyperlink>
      <w:hyperlink r:id="rId42">
        <w:r w:rsidDel="00000000" w:rsidR="00000000" w:rsidRPr="00000000">
          <w:rPr>
            <w:rFonts w:ascii="Times New Roman" w:cs="Times New Roman" w:eastAsia="Times New Roman" w:hAnsi="Times New Roman"/>
            <w:color w:val="1155cc"/>
            <w:u w:val="single"/>
            <w:rtl w:val="0"/>
          </w:rPr>
          <w:t xml:space="preserve">https://wits.worldbank.org/CountryProfile/en/Country/MYS/Year/2009/TradeFlow/EXPIMP/Partner/by-country</w:t>
        </w:r>
      </w:hyperlink>
      <w:r w:rsidDel="00000000" w:rsidR="00000000" w:rsidRPr="00000000">
        <w:rPr>
          <w:rFonts w:ascii="Times New Roman" w:cs="Times New Roman" w:eastAsia="Times New Roman" w:hAnsi="Times New Roman"/>
          <w:rtl w:val="0"/>
        </w:rPr>
        <w:t xml:space="preserve"> . Acesso em: 22 jan. 2026.</w:t>
      </w:r>
      <w:r w:rsidDel="00000000" w:rsidR="00000000" w:rsidRPr="00000000">
        <w:rPr>
          <w:rtl w:val="0"/>
        </w:rPr>
      </w:r>
    </w:p>
    <w:sectPr>
      <w:headerReference r:id="rId43" w:type="default"/>
      <w:footerReference r:id="rId44"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14F">
      <w:pPr>
        <w:spacing w:line="240" w:lineRule="auto"/>
        <w:jc w:val="both"/>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Uma explicação parcial para essa aproximação sino-malaia no governo Badawi (2003-2009) é a de que o aumento da rejeição popular ao governo Badawi e a subsequente perda de cadeiras no Parlamento malaio fez com que o governo de então se aproximasse da China para atrair os votos da comunidade chinesa na Malásia e conseguir conter a perda de popularidade (Ridzuan; Ma’dan, 2023, pp.156-157).</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footnote>
  <w:footnote w:id="2">
    <w:p w:rsidR="00000000" w:rsidDel="00000000" w:rsidP="00000000" w:rsidRDefault="00000000" w:rsidRPr="00000000" w14:paraId="00000150">
      <w:pPr>
        <w:spacing w:line="240" w:lineRule="auto"/>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Seguindo a metodologia da WITS, optou-se por registrar apenas China, uma vez que a base de dados do WITS separa a China de Hong Kong no registro dos dados. </w:t>
      </w:r>
    </w:p>
  </w:footnote>
  <w:footnote w:id="3">
    <w:p w:rsidR="00000000" w:rsidDel="00000000" w:rsidP="00000000" w:rsidRDefault="00000000" w:rsidRPr="00000000" w14:paraId="00000151">
      <w:pPr>
        <w:spacing w:line="240" w:lineRule="auto"/>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Para fins de clareza e facilidade na visualização de dados, optou-se por não colocar todos os parceiros da Malásia no período de 2003 a 2009. Por esse motivo, é possível que a soma dos valores das colunas não dê o valor presente na linha Total. (Nota do Autor)</w:t>
      </w:r>
    </w:p>
  </w:footnote>
  <w:footnote w:id="0">
    <w:p w:rsidR="00000000" w:rsidDel="00000000" w:rsidP="00000000" w:rsidRDefault="00000000" w:rsidRPr="00000000" w14:paraId="00000152">
      <w:pPr>
        <w:spacing w:line="240" w:lineRule="auto"/>
        <w:jc w:val="both"/>
        <w:rPr>
          <w:rFonts w:ascii="Times New Roman" w:cs="Times New Roman" w:eastAsia="Times New Roman" w:hAnsi="Times New Roman"/>
          <w:b w:val="1"/>
          <w:bCs w:val="1"/>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Doutorando em Relações Internacionais pela Universidade do Estado do Rio de Janeiro (UERJ). Mestre em Ciências Militares pela Escola de Comando e Estado-Maior do Exército (ECEME). Pesquisador do Núcleo de Avaliação da Conjuntura (NAC) da Escola de Guerra Naval e do Laboratório de Estudos da Ásia (Lab.Ásia) da UERJ.</w:t>
      </w:r>
      <w:r w:rsidDel="00000000" w:rsidR="00000000" w:rsidRPr="00000000">
        <w:rPr>
          <w:rtl w:val="0"/>
        </w:rPr>
      </w:r>
    </w:p>
    <w:p w:rsidR="00000000" w:rsidDel="00000000" w:rsidP="00000000" w:rsidRDefault="00000000" w:rsidRPr="00000000" w14:paraId="00000153">
      <w:pPr>
        <w:spacing w:line="240" w:lineRule="auto"/>
        <w:rPr>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rPr>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i.org/10.32890/jis2023.19.1.6" TargetMode="External"/><Relationship Id="rId20" Type="http://schemas.openxmlformats.org/officeDocument/2006/relationships/hyperlink" Target="http://dx.doi.org/10.1080/04597220802709936" TargetMode="External"/><Relationship Id="rId42" Type="http://schemas.openxmlformats.org/officeDocument/2006/relationships/hyperlink" Target="https://wits.worldbank.org/CountryProfile/en/Country/MYS/Year/2009/TradeFlow/EXPIMP/Partner/by-country" TargetMode="External"/><Relationship Id="rId41" Type="http://schemas.openxmlformats.org/officeDocument/2006/relationships/hyperlink" Target="https://wits.worldbank.org/CountryProfile/en/Country/RUS/Year/LTST/TradeFlow/EXPIMP" TargetMode="External"/><Relationship Id="rId22" Type="http://schemas.openxmlformats.org/officeDocument/2006/relationships/hyperlink" Target="http://dx.doi.org/10.1080/04597222.2011.559837" TargetMode="External"/><Relationship Id="rId44" Type="http://schemas.openxmlformats.org/officeDocument/2006/relationships/footer" Target="footer1.xml"/><Relationship Id="rId21" Type="http://schemas.openxmlformats.org/officeDocument/2006/relationships/hyperlink" Target="http://dx.doi.org/10.1080/04597220903545874" TargetMode="External"/><Relationship Id="rId43" Type="http://schemas.openxmlformats.org/officeDocument/2006/relationships/header" Target="header1.xml"/><Relationship Id="rId24" Type="http://schemas.openxmlformats.org/officeDocument/2006/relationships/hyperlink" Target="http://dx.doi.org/10.1080/04597222.2013.757002" TargetMode="External"/><Relationship Id="rId23" Type="http://schemas.openxmlformats.org/officeDocument/2006/relationships/hyperlink" Target="http://dx.doi.org/10.1080/04597222.2012.66321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6.png"/><Relationship Id="rId26" Type="http://schemas.openxmlformats.org/officeDocument/2006/relationships/hyperlink" Target="http://dx.doi.org/10.1080/04597222.2016.1127567" TargetMode="External"/><Relationship Id="rId25" Type="http://schemas.openxmlformats.org/officeDocument/2006/relationships/hyperlink" Target="http://dx.doi.org/10.1080/04597222.2014.871879" TargetMode="External"/><Relationship Id="rId28" Type="http://schemas.openxmlformats.org/officeDocument/2006/relationships/hyperlink" Target="http://dx.doi.org/10.1080/04597222.2018.1416982" TargetMode="External"/><Relationship Id="rId27" Type="http://schemas.openxmlformats.org/officeDocument/2006/relationships/hyperlink" Target="http://dx.doi.org/10.1080/04597222.2017.1271212"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dx.doi.org/10.1080/04597222.2018.1561032" TargetMode="External"/><Relationship Id="rId7" Type="http://schemas.openxmlformats.org/officeDocument/2006/relationships/customXml" Target="../customXML/item1.xml"/><Relationship Id="rId8" Type="http://schemas.openxmlformats.org/officeDocument/2006/relationships/hyperlink" Target="https://www.google.com/search?q=Kuala+Lumpur&amp;client=firefox-b-d&amp;hs=8BjU&amp;sca_esv=9fcb0994feb150f1&amp;sxsrf=ANbL-n73wMlnyHwpQoqHJLFfTy4Ozdfhgg%3A1771706172854&amp;ei=PBeaabjqM8Km5OUPwpDJ6As&amp;biw=1536&amp;bih=799&amp;oq=Mal%C3%A1sia+c&amp;gs_lp=Egxnd3Mtd2l6LXNlcnAiCk1hbMOhc2lhIGMqAggAMgoQABiABBgUGIcCMgoQABiABBgUGIcCMgUQABiABDIFEAAYgAQyBRAAGIAEMgUQABiABDIFEAAYgAQyBRAAGIAEMgoQABiABBhDGIoFMgUQABiABEj3EVCVBlicCXABeAGQAQCYAZUBoAGeAqoBAzAuMrgBAcgBAPgBAZgCA6ACsQLCAgoQABiwAxjWBBhHwgIOEAAYsAMY5AIY1gTYAQHCAhMQLhiABBiwAxhDGMgDGIoF2AEBwgIFEC4YgASYAwCIBgGQBg-6BgYIARABGAmSBwMxLjKgB8UMsgcDMC4yuAeqAsIHAzItM8gHDoAIAA&amp;sclient=gws-wiz-serp&amp;ved=2ahUKEwjqkcLwt-uSAxXwF7kGHdnaGs8QgK4QegYIAQgAEAQ" TargetMode="External"/><Relationship Id="rId31" Type="http://schemas.openxmlformats.org/officeDocument/2006/relationships/hyperlink" Target="http://dx.doi.org/10.1080/04597222.2021.1868795" TargetMode="External"/><Relationship Id="rId30" Type="http://schemas.openxmlformats.org/officeDocument/2006/relationships/hyperlink" Target="http://dx.doi.org/10.1080/04597222.2020.1707967" TargetMode="External"/><Relationship Id="rId11" Type="http://schemas.openxmlformats.org/officeDocument/2006/relationships/image" Target="media/image5.png"/><Relationship Id="rId33" Type="http://schemas.openxmlformats.org/officeDocument/2006/relationships/hyperlink" Target="http://dx.doi.org/10.1007/s42533-021-00089-5" TargetMode="External"/><Relationship Id="rId10" Type="http://schemas.openxmlformats.org/officeDocument/2006/relationships/image" Target="media/image2.png"/><Relationship Id="rId32" Type="http://schemas.openxmlformats.org/officeDocument/2006/relationships/hyperlink" Target="http://dx.doi.org/10.1525/as.2011.51.3.429" TargetMode="External"/><Relationship Id="rId13" Type="http://schemas.openxmlformats.org/officeDocument/2006/relationships/image" Target="media/image1.png"/><Relationship Id="rId35" Type="http://schemas.openxmlformats.org/officeDocument/2006/relationships/hyperlink" Target="https://doi.org/10.7910/DVN/HJK7DN" TargetMode="External"/><Relationship Id="rId12" Type="http://schemas.openxmlformats.org/officeDocument/2006/relationships/image" Target="media/image3.png"/><Relationship Id="rId34" Type="http://schemas.openxmlformats.org/officeDocument/2006/relationships/hyperlink" Target="https://doi.org/10.7910/DVN/HJK7DN" TargetMode="External"/><Relationship Id="rId15" Type="http://schemas.openxmlformats.org/officeDocument/2006/relationships/hyperlink" Target="http://dx.doi.org/10.1080/725292368" TargetMode="External"/><Relationship Id="rId37" Type="http://schemas.openxmlformats.org/officeDocument/2006/relationships/hyperlink" Target="https://www.nids.mod.go.jp/english/publication/joint_research/series17/pdf/chapter02.pdf?utm_source=chatgpt.com" TargetMode="External"/><Relationship Id="rId14" Type="http://schemas.openxmlformats.org/officeDocument/2006/relationships/image" Target="media/image4.png"/><Relationship Id="rId36" Type="http://schemas.openxmlformats.org/officeDocument/2006/relationships/hyperlink" Target="https://www.nids.mod.go.jp/english/publication/joint_research/series17/pdf/chapter02.pdf?utm_source=chatgpt.com" TargetMode="External"/><Relationship Id="rId17" Type="http://schemas.openxmlformats.org/officeDocument/2006/relationships/hyperlink" Target="http://dx.doi.org/10.1080/04597220600782887" TargetMode="External"/><Relationship Id="rId39" Type="http://schemas.openxmlformats.org/officeDocument/2006/relationships/hyperlink" Target="https://armstransfers.sipri.org/ArmsTransfer/ImportExport" TargetMode="External"/><Relationship Id="rId16" Type="http://schemas.openxmlformats.org/officeDocument/2006/relationships/hyperlink" Target="http://dx.doi.org/10.1080/04597220500387662" TargetMode="External"/><Relationship Id="rId38" Type="http://schemas.openxmlformats.org/officeDocument/2006/relationships/hyperlink" Target="http://dx.doi.org/10.4038/ucr.v1i1.31" TargetMode="External"/><Relationship Id="rId19" Type="http://schemas.openxmlformats.org/officeDocument/2006/relationships/hyperlink" Target="http://dx.doi.org/10.1080/04597220801912879" TargetMode="External"/><Relationship Id="rId18" Type="http://schemas.openxmlformats.org/officeDocument/2006/relationships/hyperlink" Target="http://dx.doi.org/10.1080/0459722060118109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XHYtXnMeJT084nniWymH0zOeuQ==">CgMxLjA4AHIhMURQYVFkTmdLUlhKd3hna1BieWdwZjdYa2NqY01aMHUw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